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проведении аукциона</w:t>
      </w:r>
      <w:r>
        <w:rPr>
          <w:color w:val="000000"/>
          <w:sz w:val="26"/>
          <w:szCs w:val="26"/>
        </w:rPr>
        <w:t xml:space="preserve"> в электронной форме, на право заключения договора аренды земельного участка, находящегося в собственности Иркутской области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 электронной 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 и  на</w:t>
      </w:r>
      <w:r>
        <w:rPr>
          <w:rStyle w:val="889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ru,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</w:t>
      </w:r>
      <w:r>
        <w:rPr>
          <w:b/>
          <w:sz w:val="26"/>
          <w:szCs w:val="26"/>
        </w:rPr>
        <w:t xml:space="preserve">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907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распоряжения министерства имущественных отношений Иркутской области от 04.09.2026 №51-1771-мр/з «О проведении аукциона на право заключения договора аренды земельного участка, находящего</w:t>
      </w:r>
      <w:r>
        <w:rPr>
          <w:sz w:val="26"/>
          <w:szCs w:val="26"/>
        </w:rPr>
        <w:t xml:space="preserve">ся в государственной собственности Иркутской области», письма министерства имущественных отношений Иркутской области от 08.09.2026 №02-51-10238/26</w:t>
      </w:r>
      <w:r>
        <w:rPr>
          <w:sz w:val="26"/>
          <w:szCs w:val="26"/>
        </w:rPr>
        <w:t xml:space="preserve">, областное государственное казенное учреждение «Фонд имущества Иркутской области» (Далее - организатор аукцион</w:t>
      </w:r>
      <w:r>
        <w:rPr>
          <w:sz w:val="26"/>
          <w:szCs w:val="26"/>
        </w:rPr>
        <w:t xml:space="preserve">а) повторно подготовило аукцион в электронной форме на право заключения договора аренды земельного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539"/>
        <w:jc w:val="both"/>
      </w:pPr>
      <w:r>
        <w:rPr>
          <w:sz w:val="26"/>
          <w:szCs w:val="26"/>
        </w:rPr>
        <w:t xml:space="preserve">Электронный аукцион является открытым по составу участников.</w:t>
      </w:r>
      <w:r/>
    </w:p>
    <w:p>
      <w:pPr>
        <w:pStyle w:val="88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</w:t>
      </w:r>
      <w:r>
        <w:rPr>
          <w:sz w:val="26"/>
          <w:szCs w:val="26"/>
        </w:rPr>
        <w:t xml:space="preserve">аявителем на участие в электронном аукционе может быть юридические и физические лица, в том числе индивидуальные предприниматели, имеющие электронную подпись, оформленную в соответствии с требованиями действующего законодательства удостоверяющим центром и </w:t>
      </w:r>
      <w:r>
        <w:rPr>
          <w:sz w:val="26"/>
          <w:szCs w:val="26"/>
        </w:rPr>
        <w:t xml:space="preserve">прошедшие регистрацию на электронной площадке, выполнившие требования регламента площадки.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539"/>
        <w:spacing w:after="0"/>
        <w:rPr>
          <w:b/>
          <w:bCs/>
          <w:color w:val="1c1c1c"/>
          <w:sz w:val="26"/>
          <w:szCs w:val="26"/>
        </w:rPr>
      </w:pPr>
      <w:r>
        <w:rPr>
          <w:b/>
          <w:bCs/>
          <w:color w:val="1c1c1c"/>
          <w:sz w:val="26"/>
          <w:szCs w:val="26"/>
        </w:rPr>
        <w:t xml:space="preserve">2.Наименование электронной площадки, место приема заявок, адрес</w:t>
      </w:r>
      <w:r>
        <w:rPr>
          <w:b/>
          <w:bCs/>
          <w:color w:val="1c1c1c"/>
          <w:sz w:val="26"/>
          <w:szCs w:val="26"/>
        </w:rPr>
        <w:t xml:space="preserve">, телефон 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</w:t>
      </w:r>
      <w:r>
        <w:rPr>
          <w:rFonts w:eastAsia="Calibri"/>
          <w:sz w:val="26"/>
          <w:szCs w:val="26"/>
        </w:rPr>
        <w:t xml:space="preserve">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</w:t>
      </w:r>
      <w:r>
        <w:rPr>
          <w:rFonts w:eastAsia="Calibri"/>
          <w:sz w:val="26"/>
          <w:szCs w:val="26"/>
        </w:rPr>
        <w:t xml:space="preserve">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82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907"/>
        <w:numPr>
          <w:ilvl w:val="0"/>
          <w:numId w:val="14"/>
        </w:numPr>
        <w:ind w:left="0" w:firstLine="709"/>
        <w:jc w:val="both"/>
        <w:spacing w:line="200" w:lineRule="atLeast"/>
        <w:rPr>
          <w:rStyle w:val="889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rFonts w:eastAsia="Calibri"/>
          <w:color w:val="auto"/>
          <w:sz w:val="26"/>
          <w:szCs w:val="26"/>
          <w:u w:val="none"/>
        </w:rPr>
      </w:r>
      <w:r>
        <w:rPr>
          <w:rStyle w:val="889"/>
          <w:rFonts w:eastAsia="Calibri"/>
          <w:color w:val="auto"/>
          <w:sz w:val="26"/>
          <w:szCs w:val="26"/>
          <w:u w:val="none"/>
        </w:rPr>
      </w:r>
    </w:p>
    <w:p>
      <w:pPr>
        <w:pStyle w:val="907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стр.,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89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89"/>
            <w:rFonts w:eastAsia="Calibri"/>
            <w:sz w:val="26"/>
            <w:szCs w:val="26"/>
          </w:rPr>
          <w:t xml:space="preserve">@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89"/>
            <w:rFonts w:eastAsia="Calibri"/>
            <w:sz w:val="26"/>
            <w:szCs w:val="26"/>
          </w:rPr>
          <w:t xml:space="preserve">-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89"/>
            <w:rFonts w:eastAsia="Calibri"/>
            <w:sz w:val="26"/>
            <w:szCs w:val="26"/>
          </w:rPr>
          <w:t xml:space="preserve">.</w:t>
        </w:r>
        <w:r>
          <w:rPr>
            <w:rStyle w:val="889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82"/>
        <w:ind w:left="568" w:firstLine="0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 Сроки подачи (приема) заявок, определения участников и проведения электронного а</w:t>
      </w:r>
      <w:r>
        <w:rPr>
          <w:b/>
          <w:bCs/>
          <w:sz w:val="26"/>
          <w:szCs w:val="26"/>
        </w:rPr>
        <w:t xml:space="preserve">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1) Дата и время начала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17</w:t>
      </w:r>
      <w:r>
        <w:rPr>
          <w:rFonts w:eastAsia="Calibri"/>
          <w:b/>
          <w:bCs/>
          <w:sz w:val="26"/>
          <w:szCs w:val="26"/>
        </w:rPr>
        <w:t xml:space="preserve">.09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b/>
          <w:sz w:val="26"/>
          <w:szCs w:val="26"/>
        </w:rPr>
        <w:t xml:space="preserve"> года в 10 час. 00 мин. </w:t>
      </w:r>
      <w:r>
        <w:rPr>
          <w:rFonts w:eastAsia="Calibri"/>
          <w:sz w:val="26"/>
          <w:szCs w:val="26"/>
        </w:rPr>
        <w:t xml:space="preserve">по местному времени. 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18.10.</w:t>
      </w:r>
      <w:r>
        <w:rPr>
          <w:rFonts w:eastAsia="Calibri"/>
          <w:b/>
          <w:sz w:val="26"/>
          <w:szCs w:val="26"/>
        </w:rPr>
        <w:t xml:space="preserve">2026 года в 10 час. 00 мин.</w:t>
      </w:r>
      <w:r>
        <w:rPr>
          <w:rFonts w:eastAsia="Calibri"/>
          <w:sz w:val="26"/>
          <w:szCs w:val="26"/>
        </w:rPr>
        <w:t xml:space="preserve"> по местному времен</w:t>
      </w:r>
      <w:r>
        <w:rPr>
          <w:rFonts w:eastAsia="Calibri"/>
          <w:sz w:val="26"/>
          <w:szCs w:val="26"/>
        </w:rPr>
        <w:t xml:space="preserve">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3) Дата рассмотрения заявок</w:t>
      </w:r>
      <w:r>
        <w:rPr>
          <w:rFonts w:eastAsia="Calibri"/>
          <w:b/>
          <w:bCs/>
          <w:sz w:val="26"/>
          <w:szCs w:val="26"/>
        </w:rPr>
        <w:t xml:space="preserve">: 19.10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 года.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4) Дата и время начала проведения электронного аукциона:</w:t>
      </w:r>
      <w:r>
        <w:rPr>
          <w:rFonts w:eastAsia="Calibri"/>
          <w:b/>
          <w:bCs/>
          <w:sz w:val="26"/>
          <w:szCs w:val="26"/>
        </w:rPr>
        <w:t xml:space="preserve"> 20.10.2026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</w:t>
        <w:br/>
        <w:t xml:space="preserve">в</w:t>
      </w:r>
      <w:r>
        <w:rPr>
          <w:rFonts w:eastAsia="Calibri"/>
          <w:b/>
          <w:bCs/>
          <w:sz w:val="26"/>
          <w:szCs w:val="26"/>
        </w:rPr>
        <w:t xml:space="preserve"> 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ч</w:t>
      </w:r>
      <w:r>
        <w:rPr>
          <w:rFonts w:eastAsia="Calibri"/>
          <w:b/>
          <w:sz w:val="26"/>
          <w:szCs w:val="26"/>
        </w:rPr>
        <w:t xml:space="preserve">ас. 00 мин. </w:t>
      </w:r>
      <w:r>
        <w:rPr>
          <w:rFonts w:eastAsia="Calibri"/>
          <w:sz w:val="26"/>
          <w:szCs w:val="26"/>
        </w:rPr>
        <w:t xml:space="preserve">по местному времени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0"/>
        <w:ind w:left="568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 Предмет аукциона</w:t>
      </w:r>
      <w:r>
        <w:rPr>
          <w:sz w:val="26"/>
          <w:szCs w:val="26"/>
        </w:rPr>
        <w:t xml:space="preserve"> право заключения договора</w:t>
      </w:r>
      <w:r>
        <w:rPr>
          <w:sz w:val="26"/>
          <w:szCs w:val="26"/>
        </w:rPr>
        <w:t xml:space="preserve"> аренды земельного участка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</w:t>
      </w:r>
      <w:r>
        <w:rPr>
          <w:sz w:val="26"/>
          <w:szCs w:val="26"/>
        </w:rPr>
        <w:t xml:space="preserve"> земель населённых пунктов площадью 1018 кв.м с кадастровым номером 85:04:040103:53, адрес: Российская Федерация, Иркутская область, муниципальный район Нукутский, сельское поселение Новонукутское, поселок Новонукутский, улица Чехова, земельный участок 26.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деловое управление.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58 месяцев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</w:t>
      </w:r>
      <w:r>
        <w:rPr>
          <w:sz w:val="26"/>
          <w:szCs w:val="26"/>
        </w:rPr>
        <w:t xml:space="preserve"> 25 900 </w:t>
      </w:r>
      <w:r>
        <w:rPr>
          <w:bCs/>
          <w:sz w:val="26"/>
          <w:szCs w:val="26"/>
        </w:rPr>
        <w:t xml:space="preserve">(Двадцать пять тысяч девятьсот</w:t>
      </w:r>
      <w:r>
        <w:rPr>
          <w:bCs/>
          <w:sz w:val="26"/>
          <w:szCs w:val="26"/>
        </w:rPr>
        <w:t xml:space="preserve">) рублей.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  <w:br/>
        <w:t xml:space="preserve">777 </w:t>
      </w:r>
      <w:r>
        <w:rPr>
          <w:bCs/>
          <w:sz w:val="26"/>
          <w:szCs w:val="26"/>
        </w:rPr>
        <w:t xml:space="preserve">(Семьсот семьдесят семь) рублей.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sz w:val="26"/>
          <w:szCs w:val="26"/>
        </w:rPr>
        <w:t xml:space="preserve"> </w:t>
        <w:br/>
      </w:r>
      <w:r>
        <w:rPr>
          <w:sz w:val="26"/>
          <w:szCs w:val="26"/>
        </w:rPr>
        <w:t xml:space="preserve">25 900 </w:t>
      </w:r>
      <w:r>
        <w:rPr>
          <w:bCs/>
          <w:sz w:val="26"/>
          <w:szCs w:val="26"/>
        </w:rPr>
        <w:t xml:space="preserve">(Двадцать пять тысяч девятьсот</w:t>
      </w:r>
      <w:r>
        <w:rPr>
          <w:bCs/>
          <w:sz w:val="26"/>
          <w:szCs w:val="26"/>
        </w:rPr>
        <w:t xml:space="preserve">)</w:t>
      </w:r>
      <w:r>
        <w:rPr>
          <w:bCs/>
          <w:sz w:val="26"/>
          <w:szCs w:val="26"/>
        </w:rPr>
        <w:t xml:space="preserve"> рублей.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left="0" w:right="0"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Дополнительная информация: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огласно выписки из Единого государственного реестра недвижимости от 02.06.2026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 w:firstLine="0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5. Возможность отказаться от прове</w:t>
      </w:r>
      <w:r>
        <w:rPr>
          <w:rFonts w:eastAsia="Calibri"/>
          <w:b/>
          <w:bCs/>
          <w:color w:val="1c1c1c"/>
          <w:sz w:val="26"/>
          <w:szCs w:val="26"/>
        </w:rPr>
        <w:t xml:space="preserve">дения электронного аукциона, внесений изменений в извещение о проведении аукциона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91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</w:t>
      </w:r>
      <w:r>
        <w:rPr>
          <w:sz w:val="26"/>
          <w:szCs w:val="26"/>
        </w:rPr>
        <w:t xml:space="preserve">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</w:t>
      </w:r>
      <w:r>
        <w:rPr>
          <w:sz w:val="26"/>
          <w:szCs w:val="26"/>
        </w:rPr>
        <w:t xml:space="preserve">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</w:t>
      </w:r>
      <w:r>
        <w:rPr>
          <w:sz w:val="26"/>
          <w:szCs w:val="26"/>
        </w:rPr>
        <w:t xml:space="preserve">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</w:t>
      </w:r>
      <w:r>
        <w:rPr>
          <w:sz w:val="26"/>
          <w:szCs w:val="26"/>
        </w:rPr>
        <w:t xml:space="preserve">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ind w:left="0" w:righ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</w:t>
      </w:r>
      <w:r>
        <w:rPr>
          <w:sz w:val="26"/>
          <w:szCs w:val="26"/>
        </w:rPr>
        <w:t xml:space="preserve">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6. 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аукционе заявителям необходимо пройти процедуру регистрации в соответствии с регламентом электронной площ</w:t>
      </w:r>
      <w:r>
        <w:rPr>
          <w:rFonts w:cs="Calibri"/>
          <w:color w:val="000000"/>
          <w:sz w:val="26"/>
          <w:szCs w:val="26"/>
        </w:rPr>
        <w:t xml:space="preserve">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заявителю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заявителей </w:t>
      </w:r>
      <w:r>
        <w:rPr>
          <w:rFonts w:cs="Calibri"/>
          <w:color w:val="000000"/>
          <w:sz w:val="26"/>
          <w:szCs w:val="26"/>
        </w:rPr>
        <w:t xml:space="preserve">на участие в электронном аукционе осуществляется ежедневно, круглосуточно, но не позднее даты и времени окончания подачи (приема) </w:t>
      </w:r>
      <w:r>
        <w:rPr>
          <w:rFonts w:cs="Calibri"/>
          <w:color w:val="000000"/>
          <w:sz w:val="26"/>
          <w:szCs w:val="26"/>
        </w:rPr>
        <w:t xml:space="preserve">заявок, указанных в информационном сообщении.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элек</w:t>
      </w:r>
      <w:r>
        <w:rPr>
          <w:rFonts w:cs="Calibri"/>
          <w:sz w:val="26"/>
          <w:szCs w:val="26"/>
        </w:rPr>
        <w:t xml:space="preserve">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заключается договор аренды земельного участка, 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568" w:firstLine="0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7. Требова</w:t>
      </w:r>
      <w:r>
        <w:rPr>
          <w:rFonts w:cs="Calibri"/>
          <w:b/>
          <w:bCs/>
          <w:sz w:val="26"/>
          <w:szCs w:val="26"/>
        </w:rPr>
        <w:t xml:space="preserve">ния к участникам электронного 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907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left="709" w:firstLine="0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8. Порядок подач</w:t>
      </w:r>
      <w:r>
        <w:rPr>
          <w:b/>
          <w:sz w:val="26"/>
          <w:szCs w:val="26"/>
        </w:rPr>
        <w:t xml:space="preserve">и (приема) и отзыва заявок на участие в электронном 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аукционах заявитель представляет организатору электронного аукциона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) </w:t>
      </w:r>
      <w:r>
        <w:rPr>
          <w:sz w:val="26"/>
          <w:szCs w:val="26"/>
        </w:rPr>
        <w:t xml:space="preserve">в установленный в извещении о проведении электронного 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 заполняется в электронной форме (с приложением предусмотренных извещением документов);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</w:t>
      </w:r>
      <w:r>
        <w:rPr>
          <w:sz w:val="26"/>
          <w:szCs w:val="26"/>
        </w:rPr>
        <w:t xml:space="preserve">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подтверждающие внесение задат</w:t>
      </w:r>
      <w:r>
        <w:rPr>
          <w:sz w:val="26"/>
          <w:szCs w:val="26"/>
        </w:rPr>
        <w:t xml:space="preserve">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</w:t>
      </w:r>
      <w:r>
        <w:rPr>
          <w:sz w:val="26"/>
          <w:szCs w:val="26"/>
        </w:rPr>
        <w:t xml:space="preserve">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</w:t>
      </w:r>
      <w:r>
        <w:rPr>
          <w:sz w:val="26"/>
          <w:szCs w:val="26"/>
        </w:rPr>
        <w:t xml:space="preserve">ением документов.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заявитель имеет право подать только одну заявку на участие в электронном аукцион</w:t>
      </w:r>
      <w:r>
        <w:rPr>
          <w:rFonts w:ascii="Times New Roman" w:hAnsi="Times New Roman" w:cs="Times New Roman"/>
          <w:sz w:val="26"/>
          <w:szCs w:val="26"/>
        </w:rPr>
        <w:t xml:space="preserve">е.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</w:t>
      </w:r>
      <w:r>
        <w:rPr>
          <w:color w:val="000000"/>
          <w:sz w:val="26"/>
          <w:szCs w:val="26"/>
        </w:rPr>
        <w:t xml:space="preserve">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</w:t>
      </w:r>
      <w:r>
        <w:rPr>
          <w:sz w:val="26"/>
          <w:szCs w:val="26"/>
        </w:rPr>
        <w:t xml:space="preserve">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</w:t>
      </w:r>
      <w:r>
        <w:rPr>
          <w:sz w:val="26"/>
          <w:szCs w:val="26"/>
        </w:rPr>
        <w:t xml:space="preserve">о следующим реквизитам: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АО «Сбербанк-АСТ»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914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  <w:t xml:space="preserve">Заявитель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17.09.2026 с 10 час. 00 мин. по 18.10.2026 до 10 час. 00 мин. по ме</w:t>
      </w:r>
      <w:r>
        <w:rPr>
          <w:b/>
          <w:bCs/>
          <w:sz w:val="26"/>
          <w:szCs w:val="26"/>
        </w:rPr>
        <w:t xml:space="preserve">стному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заявитель. Не допускается перечисление задатка иными лицами. Перечисленные денежные средства иными лицами, кроме 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</w:t>
      </w:r>
      <w:r>
        <w:rPr>
          <w:sz w:val="26"/>
          <w:szCs w:val="26"/>
        </w:rPr>
        <w:t xml:space="preserve">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b/>
            <w:color w:val="auto"/>
            <w:sz w:val="26"/>
            <w:szCs w:val="26"/>
            <w:u w:val="none"/>
          </w:rPr>
          <w:t xml:space="preserve">.ru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 по перечислению денежных средств на счёт Оператора электронной площадки учитываются на счёте заявителя, откр</w:t>
      </w:r>
      <w:r>
        <w:rPr>
          <w:sz w:val="26"/>
          <w:szCs w:val="26"/>
        </w:rPr>
        <w:t xml:space="preserve">ытом Оператором электронной площадки. Денежные средства в размере, равному задатку 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</w:t>
      </w:r>
      <w:r>
        <w:rPr>
          <w:sz w:val="26"/>
          <w:szCs w:val="26"/>
        </w:rPr>
        <w:t xml:space="preserve">тронной площадки. Заблокированные на счете заявителя денежные средства являются задатком. Подача заявки и блокирование задатка является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электронного аукциона, задаток, внес</w:t>
      </w:r>
      <w:r>
        <w:rPr>
          <w:sz w:val="26"/>
          <w:szCs w:val="26"/>
        </w:rPr>
        <w:t xml:space="preserve">енный иным лицом (подавшим единственную заявку на участие в электронном аукционе, с заявителем, признанным единственным участником электронном аукциона, либо с единственным принявшим участие в аукционе его участником), с которым заключается договор в соотв</w:t>
      </w:r>
      <w:r>
        <w:rPr>
          <w:sz w:val="26"/>
          <w:szCs w:val="26"/>
        </w:rPr>
        <w:t xml:space="preserve">етствии с положениями ЗК РФ, засчитываются в оплату приобретаемого земельного участка или в счет арендной платы за него.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электронного 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</w:t>
      </w:r>
      <w:r>
        <w:rPr>
          <w:sz w:val="26"/>
          <w:szCs w:val="26"/>
        </w:rPr>
        <w:t xml:space="preserve">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07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заявителя электронного аукциона, отозвавшего заявку до окончания срока приема заявок - 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</w:t>
      </w:r>
      <w:r>
        <w:rPr>
          <w:sz w:val="26"/>
          <w:szCs w:val="26"/>
        </w:rPr>
        <w:t xml:space="preserve">заявителя,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для участников, участвовавших в аукционе</w:t>
      </w:r>
      <w:r>
        <w:rPr>
          <w:sz w:val="26"/>
          <w:szCs w:val="26"/>
        </w:rPr>
        <w:t xml:space="preserve">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договора аренды земельного участка победителем аукцио</w:t>
      </w:r>
      <w:r>
        <w:rPr>
          <w:sz w:val="26"/>
          <w:szCs w:val="26"/>
        </w:rPr>
        <w:t xml:space="preserve">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10. Условия допуска к участию в электронном 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электронном 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непоступление задат</w:t>
      </w:r>
      <w:r>
        <w:rPr>
          <w:sz w:val="26"/>
          <w:szCs w:val="26"/>
        </w:rPr>
        <w:t xml:space="preserve">ка на дату рассмотрения заявок на участие в электронном 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электронном аукционе лицом, которое в соответствии с Земельным Кодексом РФ и другими федеральными законами не имеет права быть участником конкретного электронно</w:t>
      </w:r>
      <w:r>
        <w:rPr>
          <w:sz w:val="26"/>
          <w:szCs w:val="26"/>
        </w:rPr>
        <w:t xml:space="preserve">го 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</w:t>
      </w:r>
      <w:r>
        <w:rPr>
          <w:sz w:val="26"/>
          <w:szCs w:val="26"/>
        </w:rPr>
        <w:t xml:space="preserve">ьного органа заявителя, являющегося юридическим лицом, в предусмотренном в предусмотренном статьей 39.12 Земельного кодекса Российской Федерации, 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11.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с протоколом рассмотрения заявок  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</w:t>
      </w:r>
      <w:r>
        <w:rPr>
          <w:rFonts w:ascii="Times New Roman" w:hAnsi="Times New Roman" w:cs="Times New Roman"/>
          <w:sz w:val="26"/>
          <w:szCs w:val="26"/>
        </w:rPr>
        <w:t xml:space="preserve">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аукциона. Сведения о коли</w:t>
      </w:r>
      <w:r>
        <w:rPr>
          <w:rFonts w:ascii="Times New Roman" w:hAnsi="Times New Roman" w:cs="Times New Roman"/>
          <w:sz w:val="26"/>
          <w:szCs w:val="26"/>
        </w:rPr>
        <w:t xml:space="preserve">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</w:t>
      </w:r>
      <w:r>
        <w:rPr>
          <w:rFonts w:ascii="Times New Roman" w:hAnsi="Times New Roman" w:cs="Times New Roman"/>
          <w:sz w:val="26"/>
          <w:szCs w:val="26"/>
        </w:rPr>
        <w:t xml:space="preserve">е дня подписания протокола рассмотрения заявок.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</w:t>
      </w:r>
      <w:r>
        <w:rPr>
          <w:sz w:val="26"/>
          <w:szCs w:val="26"/>
        </w:rPr>
        <w:t xml:space="preserve">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</w:t>
      </w:r>
      <w:r>
        <w:rPr>
          <w:sz w:val="26"/>
          <w:szCs w:val="26"/>
        </w:rPr>
        <w:t xml:space="preserve">явок.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12.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аукцион проводится на электронной площадке в день и время,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 предмета электронного а</w:t>
      </w:r>
      <w:r>
        <w:rPr>
          <w:sz w:val="26"/>
          <w:szCs w:val="26"/>
        </w:rPr>
        <w:t xml:space="preserve">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</w:t>
      </w:r>
      <w:r>
        <w:rPr>
          <w:bCs/>
          <w:sz w:val="26"/>
          <w:szCs w:val="26"/>
        </w:rPr>
        <w:t xml:space="preserve">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</w:t>
      </w:r>
      <w:r>
        <w:rPr>
          <w:bCs/>
          <w:sz w:val="26"/>
          <w:szCs w:val="26"/>
        </w:rPr>
        <w:t xml:space="preserve">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электронного 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</w:t>
      </w:r>
      <w:r>
        <w:rPr>
          <w:sz w:val="26"/>
          <w:szCs w:val="26"/>
        </w:rPr>
        <w:t xml:space="preserve"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</w:t>
      </w:r>
      <w:r>
        <w:rPr>
          <w:sz w:val="26"/>
          <w:szCs w:val="26"/>
        </w:rPr>
        <w:t xml:space="preserve">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13.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электронном аукционе признается ли</w:t>
      </w:r>
      <w:r>
        <w:rPr>
          <w:sz w:val="26"/>
          <w:szCs w:val="26"/>
        </w:rPr>
        <w:t xml:space="preserve">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</w:t>
      </w:r>
      <w:r>
        <w:rPr>
          <w:sz w:val="26"/>
          <w:szCs w:val="26"/>
        </w:rPr>
        <w:t xml:space="preserve">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</w:t>
      </w:r>
      <w:r>
        <w:rPr>
          <w:sz w:val="26"/>
          <w:szCs w:val="26"/>
        </w:rPr>
        <w:t xml:space="preserve">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</w:t>
      </w:r>
      <w:r>
        <w:rPr>
          <w:sz w:val="26"/>
          <w:szCs w:val="26"/>
        </w:rPr>
        <w:t xml:space="preserve">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электронного 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</w:t>
      </w:r>
      <w:r>
        <w:rPr>
          <w:bCs/>
          <w:sz w:val="26"/>
          <w:szCs w:val="26"/>
        </w:rPr>
        <w:t xml:space="preserve">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89"/>
            <w:color w:val="auto"/>
            <w:sz w:val="26"/>
            <w:szCs w:val="26"/>
            <w:u w:val="none"/>
          </w:rPr>
          <w:t xml:space="preserve">-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89"/>
            <w:color w:val="auto"/>
            <w:sz w:val="26"/>
            <w:szCs w:val="26"/>
            <w:u w:val="none"/>
          </w:rPr>
          <w:t xml:space="preserve">.</w:t>
        </w:r>
        <w:r>
          <w:rPr>
            <w:rStyle w:val="889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89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89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айте </w:t>
      </w:r>
      <w:r>
        <w:rPr>
          <w:bCs/>
          <w:sz w:val="26"/>
          <w:szCs w:val="26"/>
        </w:rPr>
        <w:t xml:space="preserve">организатора аукциона www.irkfi. 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14.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аукциона.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82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80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аренды земельного участка, находящегося в государственной собственности Иркутской области, заключается в электронной фор</w:t>
      </w:r>
      <w:r>
        <w:rPr>
          <w:sz w:val="26"/>
          <w:szCs w:val="26"/>
        </w:rPr>
        <w:t xml:space="preserve">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электронного аукциона обязан заключить договор аренды земельного участка с министерством имущественных отношений Иркутской области не ранее 10 дней со дн</w:t>
      </w:r>
      <w:r>
        <w:rPr>
          <w:sz w:val="26"/>
          <w:szCs w:val="26"/>
        </w:rPr>
        <w:t xml:space="preserve">я размещения информации о результатах аукциона на официальном сайте торгов РФ протокола о результатах электронного аукциона, не позднее 10 рабочих дней со дня со дня направления победителю аукциона проекта договора.  Осуществить государственную регистрацию</w:t>
      </w:r>
      <w:r>
        <w:rPr>
          <w:sz w:val="26"/>
          <w:szCs w:val="26"/>
        </w:rPr>
        <w:t xml:space="preserve"> перехода права собственности на земельный участок или 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кодекса Российской Федерации заключается договор купли-продажи земельного</w:t>
      </w:r>
      <w:r>
        <w:rPr>
          <w:sz w:val="26"/>
          <w:szCs w:val="26"/>
        </w:rPr>
        <w:t xml:space="preserve">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</w:t>
      </w:r>
      <w:r>
        <w:rPr>
          <w:sz w:val="26"/>
          <w:szCs w:val="26"/>
        </w:rPr>
        <w:t xml:space="preserve">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</w:t>
      </w:r>
      <w:r>
        <w:rPr>
          <w:rFonts w:ascii="Times New Roman" w:hAnsi="Times New Roman" w:cs="Times New Roman"/>
          <w:sz w:val="26"/>
          <w:szCs w:val="26"/>
        </w:rPr>
        <w:t xml:space="preserve">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</w:t>
      </w:r>
      <w:r>
        <w:rPr>
          <w:rFonts w:ascii="Times New Roman" w:hAnsi="Times New Roman" w:cs="Times New Roman"/>
          <w:sz w:val="26"/>
          <w:szCs w:val="26"/>
        </w:rPr>
        <w:t xml:space="preserve">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</w:t>
      </w:r>
      <w:r>
        <w:rPr>
          <w:rFonts w:ascii="Times New Roman" w:hAnsi="Times New Roman" w:cs="Times New Roman"/>
          <w:sz w:val="26"/>
          <w:szCs w:val="26"/>
        </w:rPr>
        <w:t xml:space="preserve">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1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</w:t>
      </w:r>
      <w:r>
        <w:rPr>
          <w:rFonts w:ascii="Times New Roman" w:hAnsi="Times New Roman" w:cs="Times New Roman"/>
          <w:sz w:val="26"/>
          <w:szCs w:val="26"/>
        </w:rPr>
        <w:t xml:space="preserve">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</w:t>
      </w:r>
      <w:r>
        <w:rPr>
          <w:rFonts w:ascii="Times New Roman" w:hAnsi="Times New Roman" w:cs="Times New Roman"/>
          <w:sz w:val="26"/>
          <w:szCs w:val="26"/>
        </w:rPr>
        <w:t xml:space="preserve">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электронного аукциона, уклонившихся от заключения договора аренды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</w:t>
      </w:r>
      <w:r>
        <w:rPr>
          <w:sz w:val="26"/>
          <w:szCs w:val="26"/>
        </w:rPr>
        <w:t xml:space="preserve">в реестр недобросовестных участников аукционов.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2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15.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82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телефону: </w:t>
        <w:br/>
        <w:t xml:space="preserve">20-75-18 (внутр. номер 501, 502),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на официально</w:t>
      </w:r>
      <w:r>
        <w:rPr>
          <w:bCs/>
          <w:sz w:val="26"/>
          <w:szCs w:val="26"/>
        </w:rPr>
        <w:t xml:space="preserve">м сайте уполномоченного органа </w:t>
      </w:r>
      <w:hyperlink r:id="rId28" w:tooltip="http://www.mio.irkobl.ru" w:history="1">
        <w:r>
          <w:rPr>
            <w:rStyle w:val="889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89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89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  <w:u w:val="single"/>
        </w:rPr>
        <w:t xml:space="preserve"> 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2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80"/>
        <w:ind w:firstLine="54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Директор</w:t>
      </w:r>
      <w:r>
        <w:rPr>
          <w:color w:val="000000"/>
          <w:sz w:val="26"/>
          <w:szCs w:val="26"/>
        </w:rPr>
        <w:tab/>
        <w:t xml:space="preserve">                                                                                   А.Б.Чен-Юн</w:t>
      </w:r>
      <w:r>
        <w:rPr>
          <w:color w:val="000000"/>
          <w:sz w:val="26"/>
          <w:szCs w:val="26"/>
        </w:rPr>
        <w:t xml:space="preserve">-Тай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12"/>
  </w:num>
  <w:num w:numId="6">
    <w:abstractNumId w:val="10"/>
  </w:num>
  <w:num w:numId="7">
    <w:abstractNumId w:val="9"/>
  </w:num>
  <w:num w:numId="8">
    <w:abstractNumId w:val="14"/>
  </w:num>
  <w:num w:numId="9">
    <w:abstractNumId w:val="2"/>
  </w:num>
  <w:num w:numId="10">
    <w:abstractNumId w:val="4"/>
  </w:num>
  <w:num w:numId="11">
    <w:abstractNumId w:val="15"/>
  </w:num>
  <w:num w:numId="12">
    <w:abstractNumId w:val="7"/>
  </w:num>
  <w:num w:numId="13">
    <w:abstractNumId w:val="5"/>
  </w:num>
  <w:num w:numId="14">
    <w:abstractNumId w:val="1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687">
    <w:name w:val="Heading 2 Char"/>
    <w:basedOn w:val="713"/>
    <w:link w:val="705"/>
    <w:uiPriority w:val="9"/>
    <w:rPr>
      <w:rFonts w:ascii="Arial" w:hAnsi="Arial" w:eastAsia="Arial" w:cs="Arial"/>
      <w:sz w:val="34"/>
    </w:rPr>
  </w:style>
  <w:style w:type="character" w:styleId="688">
    <w:name w:val="Heading 3 Char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689">
    <w:name w:val="Heading 4 Char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690">
    <w:name w:val="Heading 5 Char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691">
    <w:name w:val="Heading 6 Char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692">
    <w:name w:val="Heading 7 Char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3">
    <w:name w:val="Heading 8 Char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694">
    <w:name w:val="Heading 9 Char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character" w:styleId="695">
    <w:name w:val="Subtitle Char"/>
    <w:basedOn w:val="713"/>
    <w:link w:val="727"/>
    <w:uiPriority w:val="11"/>
    <w:rPr>
      <w:sz w:val="24"/>
      <w:szCs w:val="24"/>
    </w:rPr>
  </w:style>
  <w:style w:type="character" w:styleId="696">
    <w:name w:val="Quote Char"/>
    <w:link w:val="729"/>
    <w:uiPriority w:val="29"/>
    <w:rPr>
      <w:i/>
    </w:rPr>
  </w:style>
  <w:style w:type="character" w:styleId="697">
    <w:name w:val="Intense Quote Char"/>
    <w:link w:val="731"/>
    <w:uiPriority w:val="30"/>
    <w:rPr>
      <w:i/>
    </w:rPr>
  </w:style>
  <w:style w:type="character" w:styleId="698">
    <w:name w:val="Header Char"/>
    <w:basedOn w:val="713"/>
    <w:link w:val="733"/>
    <w:uiPriority w:val="99"/>
  </w:style>
  <w:style w:type="character" w:styleId="699">
    <w:name w:val="Footer Char"/>
    <w:basedOn w:val="713"/>
    <w:link w:val="735"/>
    <w:uiPriority w:val="99"/>
  </w:style>
  <w:style w:type="character" w:styleId="700">
    <w:name w:val="Caption Char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character" w:styleId="701">
    <w:name w:val="Footnote Text Char"/>
    <w:link w:val="863"/>
    <w:uiPriority w:val="99"/>
    <w:rPr>
      <w:sz w:val="18"/>
    </w:rPr>
  </w:style>
  <w:style w:type="character" w:styleId="702">
    <w:name w:val="Endnote Text Char"/>
    <w:link w:val="866"/>
    <w:uiPriority w:val="99"/>
    <w:rPr>
      <w:sz w:val="20"/>
    </w:rPr>
  </w:style>
  <w:style w:type="paragraph" w:styleId="703" w:default="1">
    <w:name w:val="Normal"/>
    <w:qFormat/>
    <w:rPr>
      <w:sz w:val="24"/>
      <w:szCs w:val="24"/>
    </w:rPr>
  </w:style>
  <w:style w:type="paragraph" w:styleId="704">
    <w:name w:val="Heading 1"/>
    <w:basedOn w:val="703"/>
    <w:next w:val="703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next w:val="703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9">
    <w:name w:val="Heading 6"/>
    <w:basedOn w:val="703"/>
    <w:next w:val="703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0">
    <w:name w:val="Heading 7"/>
    <w:basedOn w:val="703"/>
    <w:next w:val="703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703"/>
    <w:next w:val="70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703"/>
    <w:next w:val="703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Заголовок 1 Знак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Заголовок 2 Знак"/>
    <w:basedOn w:val="713"/>
    <w:link w:val="705"/>
    <w:uiPriority w:val="9"/>
    <w:rPr>
      <w:rFonts w:ascii="Arial" w:hAnsi="Arial" w:eastAsia="Arial" w:cs="Arial"/>
      <w:sz w:val="34"/>
    </w:rPr>
  </w:style>
  <w:style w:type="character" w:styleId="718" w:customStyle="1">
    <w:name w:val="Заголовок 3 Знак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Заголовок 4 Знак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Заголовок 5 Знак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Заголовок 6 Знак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Заголовок 7 Знак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Заголовок 8 Знак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Заголовок 9 Знак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No Spacing"/>
    <w:uiPriority w:val="1"/>
    <w:qFormat/>
  </w:style>
  <w:style w:type="character" w:styleId="726" w:customStyle="1">
    <w:name w:val="Title Char"/>
    <w:basedOn w:val="713"/>
    <w:uiPriority w:val="10"/>
    <w:rPr>
      <w:sz w:val="48"/>
      <w:szCs w:val="48"/>
    </w:rPr>
  </w:style>
  <w:style w:type="paragraph" w:styleId="727">
    <w:name w:val="Subtitle"/>
    <w:basedOn w:val="703"/>
    <w:next w:val="703"/>
    <w:link w:val="728"/>
    <w:uiPriority w:val="11"/>
    <w:qFormat/>
    <w:pPr>
      <w:spacing w:before="200" w:after="200"/>
    </w:pPr>
  </w:style>
  <w:style w:type="character" w:styleId="728" w:customStyle="1">
    <w:name w:val="Подзаголовок Знак"/>
    <w:basedOn w:val="713"/>
    <w:link w:val="727"/>
    <w:uiPriority w:val="11"/>
    <w:rPr>
      <w:sz w:val="24"/>
      <w:szCs w:val="24"/>
    </w:rPr>
  </w:style>
  <w:style w:type="paragraph" w:styleId="729">
    <w:name w:val="Quote"/>
    <w:basedOn w:val="703"/>
    <w:next w:val="703"/>
    <w:link w:val="730"/>
    <w:uiPriority w:val="29"/>
    <w:qFormat/>
    <w:pPr>
      <w:ind w:left="720" w:right="720"/>
    </w:pPr>
    <w:rPr>
      <w:i/>
    </w:rPr>
  </w:style>
  <w:style w:type="character" w:styleId="730" w:customStyle="1">
    <w:name w:val="Цитата 2 Знак"/>
    <w:link w:val="729"/>
    <w:uiPriority w:val="29"/>
    <w:rPr>
      <w:i/>
    </w:rPr>
  </w:style>
  <w:style w:type="paragraph" w:styleId="731">
    <w:name w:val="Intense Quote"/>
    <w:basedOn w:val="703"/>
    <w:next w:val="703"/>
    <w:link w:val="73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 w:customStyle="1">
    <w:name w:val="Выделенная цитата Знак"/>
    <w:link w:val="731"/>
    <w:uiPriority w:val="30"/>
    <w:rPr>
      <w:i/>
    </w:rPr>
  </w:style>
  <w:style w:type="paragraph" w:styleId="733">
    <w:name w:val="Header"/>
    <w:basedOn w:val="703"/>
    <w:link w:val="73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4" w:customStyle="1">
    <w:name w:val="Верхний колонтитул Знак"/>
    <w:basedOn w:val="713"/>
    <w:link w:val="733"/>
    <w:uiPriority w:val="99"/>
  </w:style>
  <w:style w:type="paragraph" w:styleId="735">
    <w:name w:val="Footer"/>
    <w:basedOn w:val="703"/>
    <w:link w:val="73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36" w:customStyle="1">
    <w:name w:val="Нижний колонтитул Знак"/>
    <w:basedOn w:val="713"/>
    <w:link w:val="735"/>
    <w:uiPriority w:val="99"/>
  </w:style>
  <w:style w:type="character" w:styleId="737" w:customStyle="1">
    <w:name w:val="Название объекта Знак"/>
    <w:basedOn w:val="713"/>
    <w:link w:val="908"/>
    <w:uiPriority w:val="35"/>
    <w:rPr>
      <w:b/>
      <w:bCs/>
      <w:color w:val="4f81bd" w:themeColor="accent1"/>
      <w:sz w:val="18"/>
      <w:szCs w:val="18"/>
    </w:rPr>
  </w:style>
  <w:style w:type="table" w:styleId="738" w:customStyle="1">
    <w:name w:val="Table Grid Light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9">
    <w:name w:val="Plain Table 1"/>
    <w:basedOn w:val="71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2"/>
    <w:basedOn w:val="71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3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2">
    <w:name w:val="Plain Table 4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Plain Table 5"/>
    <w:basedOn w:val="71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4">
    <w:name w:val="Grid Table 1 Light"/>
    <w:basedOn w:val="71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2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"/>
    <w:basedOn w:val="71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1"/>
    <w:basedOn w:val="71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5"/>
    <w:basedOn w:val="71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6"/>
    <w:basedOn w:val="71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4"/>
    <w:basedOn w:val="71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6" w:customStyle="1">
    <w:name w:val="Grid Table 4 - Accent 1"/>
    <w:basedOn w:val="71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7" w:customStyle="1">
    <w:name w:val="Grid Table 4 - Accent 2"/>
    <w:basedOn w:val="71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8" w:customStyle="1">
    <w:name w:val="Grid Table 4 - Accent 3"/>
    <w:basedOn w:val="71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9" w:customStyle="1">
    <w:name w:val="Grid Table 4 - Accent 4"/>
    <w:basedOn w:val="71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0" w:customStyle="1">
    <w:name w:val="Grid Table 4 - Accent 5"/>
    <w:basedOn w:val="71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71" w:customStyle="1">
    <w:name w:val="Grid Table 4 - Accent 6"/>
    <w:basedOn w:val="71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2">
    <w:name w:val="Grid Table 5 Dark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1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2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3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- Accent 4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5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6"/>
    <w:basedOn w:val="71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9">
    <w:name w:val="Grid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0" w:customStyle="1">
    <w:name w:val="Grid Table 6 Colorful - Accent 1"/>
    <w:basedOn w:val="71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81" w:customStyle="1">
    <w:name w:val="Grid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2" w:customStyle="1">
    <w:name w:val="Grid Table 6 Colorful - Accent 3"/>
    <w:basedOn w:val="71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3" w:customStyle="1">
    <w:name w:val="Grid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4" w:customStyle="1">
    <w:name w:val="Grid Table 6 Colorful - Accent 5"/>
    <w:basedOn w:val="71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5" w:customStyle="1">
    <w:name w:val="Grid Table 6 Colorful - Accent 6"/>
    <w:basedOn w:val="71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6">
    <w:name w:val="Grid Table 7 Colorful"/>
    <w:basedOn w:val="71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1"/>
    <w:basedOn w:val="71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2"/>
    <w:basedOn w:val="71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3"/>
    <w:basedOn w:val="71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4"/>
    <w:basedOn w:val="71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5"/>
    <w:basedOn w:val="71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6"/>
    <w:basedOn w:val="71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"/>
    <w:basedOn w:val="71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1"/>
    <w:basedOn w:val="71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2"/>
    <w:basedOn w:val="71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3"/>
    <w:basedOn w:val="71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4"/>
    <w:basedOn w:val="71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5"/>
    <w:basedOn w:val="71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6"/>
    <w:basedOn w:val="71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2"/>
    <w:basedOn w:val="71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7">
    <w:name w:val="List Table 3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"/>
    <w:basedOn w:val="71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1"/>
    <w:basedOn w:val="71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2"/>
    <w:basedOn w:val="71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3"/>
    <w:basedOn w:val="71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4"/>
    <w:basedOn w:val="71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5"/>
    <w:basedOn w:val="71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6"/>
    <w:basedOn w:val="71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5 Dark"/>
    <w:basedOn w:val="71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1"/>
    <w:basedOn w:val="71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>
    <w:name w:val="List Table 6 Colorful"/>
    <w:basedOn w:val="71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9" w:customStyle="1">
    <w:name w:val="List Table 6 Colorful - Accent 1"/>
    <w:basedOn w:val="71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0" w:customStyle="1">
    <w:name w:val="List Table 6 Colorful - Accent 2"/>
    <w:basedOn w:val="71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31" w:customStyle="1">
    <w:name w:val="List Table 6 Colorful - Accent 3"/>
    <w:basedOn w:val="71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2" w:customStyle="1">
    <w:name w:val="List Table 6 Colorful - Accent 4"/>
    <w:basedOn w:val="71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3" w:customStyle="1">
    <w:name w:val="List Table 6 Colorful - Accent 5"/>
    <w:basedOn w:val="71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4" w:customStyle="1">
    <w:name w:val="List Table 6 Colorful - Accent 6"/>
    <w:basedOn w:val="71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5">
    <w:name w:val="List Table 7 Colorful"/>
    <w:basedOn w:val="71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1"/>
    <w:basedOn w:val="71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2"/>
    <w:basedOn w:val="71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3"/>
    <w:basedOn w:val="71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4"/>
    <w:basedOn w:val="71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5"/>
    <w:basedOn w:val="71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6"/>
    <w:basedOn w:val="71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ned - Accent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Lined - Accent 1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4" w:customStyle="1">
    <w:name w:val="Lined - Accent 2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5" w:customStyle="1">
    <w:name w:val="Lined - Accent 3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6" w:customStyle="1">
    <w:name w:val="Lined - Accent 4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7" w:customStyle="1">
    <w:name w:val="Lined - Accent 5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8" w:customStyle="1">
    <w:name w:val="Lined - Accent 6"/>
    <w:basedOn w:val="71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9" w:customStyle="1">
    <w:name w:val="Bordered &amp; Lined - Accent"/>
    <w:basedOn w:val="71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0" w:customStyle="1">
    <w:name w:val="Bordered &amp; Lined - Accent 1"/>
    <w:basedOn w:val="71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1" w:customStyle="1">
    <w:name w:val="Bordered &amp; Lined - Accent 2"/>
    <w:basedOn w:val="71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2" w:customStyle="1">
    <w:name w:val="Bordered &amp; Lined - Accent 3"/>
    <w:basedOn w:val="71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3" w:customStyle="1">
    <w:name w:val="Bordered &amp; Lined - Accent 4"/>
    <w:basedOn w:val="71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4" w:customStyle="1">
    <w:name w:val="Bordered &amp; Lined - Accent 5"/>
    <w:basedOn w:val="71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5" w:customStyle="1">
    <w:name w:val="Bordered &amp; Lined - Accent 6"/>
    <w:basedOn w:val="71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6" w:customStyle="1">
    <w:name w:val="Bordered"/>
    <w:basedOn w:val="71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7" w:customStyle="1">
    <w:name w:val="Bordered - Accent 1"/>
    <w:basedOn w:val="71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8" w:customStyle="1">
    <w:name w:val="Bordered - Accent 2"/>
    <w:basedOn w:val="71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9" w:customStyle="1">
    <w:name w:val="Bordered - Accent 3"/>
    <w:basedOn w:val="71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0" w:customStyle="1">
    <w:name w:val="Bordered - Accent 4"/>
    <w:basedOn w:val="71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61" w:customStyle="1">
    <w:name w:val="Bordered - Accent 5"/>
    <w:basedOn w:val="71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2" w:customStyle="1">
    <w:name w:val="Bordered - Accent 6"/>
    <w:basedOn w:val="71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63">
    <w:name w:val="footnote text"/>
    <w:basedOn w:val="703"/>
    <w:link w:val="864"/>
    <w:uiPriority w:val="99"/>
    <w:semiHidden/>
    <w:unhideWhenUsed/>
    <w:pPr>
      <w:spacing w:after="40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basedOn w:val="713"/>
    <w:uiPriority w:val="99"/>
    <w:unhideWhenUsed/>
    <w:rPr>
      <w:vertAlign w:val="superscript"/>
    </w:rPr>
  </w:style>
  <w:style w:type="paragraph" w:styleId="866">
    <w:name w:val="endnote text"/>
    <w:basedOn w:val="703"/>
    <w:link w:val="867"/>
    <w:uiPriority w:val="99"/>
    <w:semiHidden/>
    <w:unhideWhenUsed/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basedOn w:val="713"/>
    <w:uiPriority w:val="99"/>
    <w:semiHidden/>
    <w:unhideWhenUsed/>
    <w:rPr>
      <w:vertAlign w:val="superscript"/>
    </w:rPr>
  </w:style>
  <w:style w:type="paragraph" w:styleId="869">
    <w:name w:val="toc 1"/>
    <w:basedOn w:val="703"/>
    <w:next w:val="703"/>
    <w:uiPriority w:val="39"/>
    <w:unhideWhenUsed/>
    <w:pPr>
      <w:spacing w:after="57"/>
    </w:pPr>
  </w:style>
  <w:style w:type="paragraph" w:styleId="870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71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72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73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74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75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76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77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703"/>
    <w:next w:val="703"/>
    <w:uiPriority w:val="99"/>
    <w:unhideWhenUsed/>
  </w:style>
  <w:style w:type="paragraph" w:styleId="880">
    <w:name w:val="Title"/>
    <w:basedOn w:val="703"/>
    <w:link w:val="896"/>
    <w:uiPriority w:val="99"/>
    <w:qFormat/>
    <w:pPr>
      <w:jc w:val="center"/>
    </w:pPr>
    <w:rPr>
      <w:bCs/>
      <w:szCs w:val="20"/>
    </w:rPr>
  </w:style>
  <w:style w:type="paragraph" w:styleId="881" w:customStyle="1">
    <w:name w:val="ConsPlusTitle"/>
    <w:rPr>
      <w:b/>
      <w:bCs/>
      <w:sz w:val="24"/>
      <w:szCs w:val="24"/>
    </w:rPr>
  </w:style>
  <w:style w:type="paragraph" w:styleId="882">
    <w:name w:val="Body Text"/>
    <w:basedOn w:val="703"/>
    <w:link w:val="888"/>
    <w:pPr>
      <w:jc w:val="both"/>
      <w:spacing w:after="120"/>
      <w:widowControl w:val="off"/>
    </w:pPr>
    <w:rPr>
      <w:sz w:val="28"/>
      <w:szCs w:val="20"/>
    </w:rPr>
  </w:style>
  <w:style w:type="paragraph" w:styleId="883" w:customStyle="1">
    <w:name w:val="Таблицы (моноширинный)"/>
    <w:basedOn w:val="703"/>
    <w:next w:val="703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84">
    <w:name w:val="Body Text 2"/>
    <w:basedOn w:val="703"/>
    <w:link w:val="899"/>
    <w:rPr>
      <w:sz w:val="26"/>
      <w:szCs w:val="20"/>
    </w:rPr>
  </w:style>
  <w:style w:type="paragraph" w:styleId="885">
    <w:name w:val="Body Text Indent"/>
    <w:basedOn w:val="703"/>
    <w:link w:val="897"/>
    <w:pPr>
      <w:ind w:firstLine="360"/>
    </w:pPr>
    <w:rPr>
      <w:sz w:val="26"/>
      <w:szCs w:val="20"/>
    </w:rPr>
  </w:style>
  <w:style w:type="paragraph" w:styleId="886">
    <w:name w:val="Body Text Indent 2"/>
    <w:basedOn w:val="703"/>
    <w:link w:val="898"/>
    <w:pPr>
      <w:ind w:firstLine="709"/>
      <w:jc w:val="both"/>
    </w:pPr>
    <w:rPr>
      <w:sz w:val="28"/>
      <w:szCs w:val="20"/>
    </w:rPr>
  </w:style>
  <w:style w:type="paragraph" w:styleId="887" w:customStyle="1">
    <w:name w:val="ConsPlusNonformat"/>
    <w:rPr>
      <w:rFonts w:ascii="Courier New" w:hAnsi="Courier New" w:cs="Courier New"/>
    </w:rPr>
  </w:style>
  <w:style w:type="character" w:styleId="888" w:customStyle="1">
    <w:name w:val="Основной текст Знак"/>
    <w:basedOn w:val="713"/>
    <w:link w:val="882"/>
    <w:rPr>
      <w:rFonts w:cs="Times New Roman"/>
      <w:sz w:val="28"/>
      <w:lang w:val="ru-RU" w:eastAsia="ru-RU" w:bidi="ar-SA"/>
    </w:rPr>
  </w:style>
  <w:style w:type="character" w:styleId="889">
    <w:name w:val="Hyperlink"/>
    <w:basedOn w:val="713"/>
    <w:rPr>
      <w:rFonts w:cs="Times New Roman"/>
      <w:color w:val="0000ff"/>
      <w:u w:val="single"/>
    </w:rPr>
  </w:style>
  <w:style w:type="paragraph" w:styleId="890">
    <w:name w:val="Balloon Text"/>
    <w:basedOn w:val="703"/>
    <w:semiHidden/>
    <w:rPr>
      <w:rFonts w:ascii="Tahoma" w:hAnsi="Tahoma" w:cs="Tahoma"/>
      <w:sz w:val="16"/>
      <w:szCs w:val="16"/>
    </w:rPr>
  </w:style>
  <w:style w:type="paragraph" w:styleId="891" w:customStyle="1">
    <w:name w:val="ConsPlusNormal"/>
    <w:pPr>
      <w:ind w:firstLine="720"/>
    </w:pPr>
    <w:rPr>
      <w:rFonts w:ascii="Arial" w:hAnsi="Arial" w:cs="Arial"/>
    </w:rPr>
  </w:style>
  <w:style w:type="paragraph" w:styleId="892" w:customStyle="1">
    <w:name w:val="Style3"/>
    <w:basedOn w:val="703"/>
    <w:pPr>
      <w:ind w:firstLine="706"/>
      <w:jc w:val="both"/>
      <w:spacing w:line="322" w:lineRule="exact"/>
      <w:widowControl w:val="off"/>
    </w:pPr>
  </w:style>
  <w:style w:type="character" w:styleId="893" w:customStyle="1">
    <w:name w:val="Font Style11"/>
    <w:basedOn w:val="713"/>
    <w:rPr>
      <w:rFonts w:ascii="Times New Roman" w:hAnsi="Times New Roman" w:cs="Times New Roman"/>
      <w:b/>
      <w:bCs/>
      <w:sz w:val="26"/>
      <w:szCs w:val="26"/>
    </w:rPr>
  </w:style>
  <w:style w:type="character" w:styleId="894" w:customStyle="1">
    <w:name w:val="Font Style12"/>
    <w:basedOn w:val="713"/>
    <w:rPr>
      <w:rFonts w:ascii="Times New Roman" w:hAnsi="Times New Roman" w:cs="Times New Roman"/>
      <w:sz w:val="26"/>
      <w:szCs w:val="26"/>
    </w:rPr>
  </w:style>
  <w:style w:type="character" w:styleId="895" w:customStyle="1">
    <w:name w:val="Основной текст + Полужирный"/>
    <w:basedOn w:val="713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96" w:customStyle="1">
    <w:name w:val="Заголовок Знак"/>
    <w:basedOn w:val="713"/>
    <w:link w:val="880"/>
    <w:uiPriority w:val="99"/>
    <w:rPr>
      <w:rFonts w:cs="Times New Roman"/>
      <w:bCs/>
      <w:sz w:val="24"/>
    </w:rPr>
  </w:style>
  <w:style w:type="character" w:styleId="897" w:customStyle="1">
    <w:name w:val="Основной текст с отступом Знак"/>
    <w:basedOn w:val="713"/>
    <w:link w:val="885"/>
    <w:rPr>
      <w:rFonts w:cs="Times New Roman"/>
      <w:sz w:val="26"/>
    </w:rPr>
  </w:style>
  <w:style w:type="character" w:styleId="898" w:customStyle="1">
    <w:name w:val="Основной текст с отступом 2 Знак"/>
    <w:basedOn w:val="713"/>
    <w:link w:val="886"/>
    <w:rPr>
      <w:rFonts w:cs="Times New Roman"/>
      <w:sz w:val="28"/>
    </w:rPr>
  </w:style>
  <w:style w:type="character" w:styleId="899" w:customStyle="1">
    <w:name w:val="Основной текст 2 Знак"/>
    <w:link w:val="884"/>
    <w:rPr>
      <w:sz w:val="26"/>
    </w:rPr>
  </w:style>
  <w:style w:type="paragraph" w:styleId="900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1" w:customStyle="1">
    <w:name w:val="Абзац списка1"/>
    <w:basedOn w:val="703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902" w:customStyle="1">
    <w:name w:val="s_13"/>
    <w:basedOn w:val="703"/>
    <w:pPr>
      <w:ind w:firstLine="720"/>
    </w:pPr>
  </w:style>
  <w:style w:type="paragraph" w:styleId="903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904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905">
    <w:name w:val="Body Text 3"/>
    <w:basedOn w:val="703"/>
    <w:link w:val="906"/>
    <w:pPr>
      <w:spacing w:after="120"/>
    </w:pPr>
    <w:rPr>
      <w:sz w:val="16"/>
      <w:szCs w:val="16"/>
    </w:rPr>
  </w:style>
  <w:style w:type="character" w:styleId="906" w:customStyle="1">
    <w:name w:val="Основной текст 3 Знак"/>
    <w:basedOn w:val="713"/>
    <w:link w:val="905"/>
    <w:rPr>
      <w:sz w:val="16"/>
      <w:szCs w:val="16"/>
    </w:rPr>
  </w:style>
  <w:style w:type="paragraph" w:styleId="907">
    <w:name w:val="List Paragraph"/>
    <w:basedOn w:val="703"/>
    <w:link w:val="913"/>
    <w:uiPriority w:val="34"/>
    <w:qFormat/>
    <w:pPr>
      <w:contextualSpacing/>
      <w:ind w:left="720"/>
    </w:pPr>
  </w:style>
  <w:style w:type="paragraph" w:styleId="908">
    <w:name w:val="Caption"/>
    <w:basedOn w:val="703"/>
    <w:next w:val="703"/>
    <w:link w:val="737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909">
    <w:name w:val="Table Grid"/>
    <w:basedOn w:val="714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0" w:customStyle="1">
    <w:name w:val="Термин"/>
    <w:basedOn w:val="703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911" w:customStyle="1">
    <w:name w:val="WW8Num1z0"/>
  </w:style>
  <w:style w:type="character" w:styleId="912" w:customStyle="1">
    <w:name w:val="Основной шрифт абзаца1"/>
  </w:style>
  <w:style w:type="character" w:styleId="913" w:customStyle="1">
    <w:name w:val="Абзац списка Знак"/>
    <w:link w:val="907"/>
    <w:uiPriority w:val="34"/>
    <w:rPr>
      <w:sz w:val="24"/>
      <w:szCs w:val="24"/>
    </w:rPr>
  </w:style>
  <w:style w:type="character" w:styleId="914">
    <w:name w:val="Strong"/>
    <w:basedOn w:val="713"/>
    <w:uiPriority w:val="22"/>
    <w:qFormat/>
    <w:rPr>
      <w:b/>
      <w:bCs/>
    </w:rPr>
  </w:style>
  <w:style w:type="character" w:styleId="915">
    <w:name w:val="Emphasis"/>
    <w:uiPriority w:val="20"/>
    <w:qFormat/>
    <w:rPr>
      <w:rFonts w:cs="Times New Roman"/>
      <w:i/>
      <w:iCs/>
    </w:rPr>
  </w:style>
  <w:style w:type="paragraph" w:styleId="916">
    <w:name w:val="Normal (Web)"/>
    <w:basedOn w:val="703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833DF-369C-467C-B2A4-362BCFC68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s.cherepanova</cp:lastModifiedBy>
  <cp:revision>50</cp:revision>
  <dcterms:created xsi:type="dcterms:W3CDTF">2025-08-05T03:08:00Z</dcterms:created>
  <dcterms:modified xsi:type="dcterms:W3CDTF">2026-09-15T02:13:51Z</dcterms:modified>
</cp:coreProperties>
</file>