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540"/>
        <w:jc w:val="center"/>
        <w:rPr>
          <w:b/>
          <w:sz w:val="26"/>
          <w:szCs w:val="26"/>
        </w:rPr>
      </w:pPr>
      <w:r>
        <w:rPr>
          <w:b/>
          <w:bCs/>
          <w:sz w:val="26"/>
          <w:szCs w:val="26"/>
        </w:rPr>
        <w:t xml:space="preserve">Извещение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ind w:firstLine="54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 проведении аукциона</w:t>
      </w:r>
      <w:r>
        <w:rPr>
          <w:color w:val="000000"/>
          <w:sz w:val="26"/>
          <w:szCs w:val="26"/>
        </w:rPr>
        <w:t xml:space="preserve"> в электронной форме, на право заключения договора аренды земельного участка, находящегося в собственности Иркутской области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540"/>
        <w:jc w:val="center"/>
        <w:rPr>
          <w:sz w:val="26"/>
          <w:szCs w:val="26"/>
        </w:rPr>
      </w:pPr>
      <w:r>
        <w:rPr>
          <w:bCs/>
          <w:sz w:val="26"/>
          <w:szCs w:val="26"/>
        </w:rPr>
        <w:t xml:space="preserve">(размещено на торговой электронной  площадке   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10" w:tooltip="http://sberbank-ast.ru" w:history="1">
        <w:r>
          <w:rPr>
            <w:rStyle w:val="889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89"/>
            <w:color w:val="auto"/>
            <w:sz w:val="26"/>
            <w:szCs w:val="26"/>
            <w:u w:val="none"/>
          </w:rPr>
          <w:t xml:space="preserve">-</w:t>
        </w:r>
        <w:r>
          <w:rPr>
            <w:rStyle w:val="889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89"/>
            <w:color w:val="auto"/>
            <w:sz w:val="26"/>
            <w:szCs w:val="26"/>
            <w:u w:val="none"/>
          </w:rPr>
          <w:t xml:space="preserve">.ru</w:t>
        </w:r>
      </w:hyperlink>
      <w:r>
        <w:rPr>
          <w:bCs/>
          <w:color w:val="1c1c1c"/>
          <w:sz w:val="26"/>
          <w:szCs w:val="26"/>
        </w:rPr>
        <w:t xml:space="preserve"> АО «Сбербанк-АСТ»)</w:t>
      </w:r>
      <w:r>
        <w:rPr>
          <w:rStyle w:val="889"/>
          <w:color w:val="auto"/>
          <w:sz w:val="26"/>
          <w:szCs w:val="26"/>
          <w:u w:val="none"/>
        </w:rPr>
        <w:t xml:space="preserve"> и  на</w:t>
      </w:r>
      <w:r>
        <w:rPr>
          <w:rStyle w:val="889"/>
          <w:color w:val="0070c0"/>
          <w:sz w:val="26"/>
          <w:szCs w:val="26"/>
          <w:u w:val="none"/>
        </w:rPr>
        <w:t xml:space="preserve"> </w:t>
      </w:r>
      <w:r>
        <w:rPr>
          <w:bCs/>
          <w:sz w:val="26"/>
          <w:szCs w:val="26"/>
        </w:rPr>
        <w:t xml:space="preserve">сайтах  www.torgi.gov. </w:t>
      </w:r>
      <w:r>
        <w:rPr>
          <w:bCs/>
          <w:sz w:val="26"/>
          <w:szCs w:val="26"/>
          <w:lang w:val="en-US"/>
        </w:rPr>
        <w:t xml:space="preserve">r</w:t>
      </w:r>
      <w:r>
        <w:rPr>
          <w:bCs/>
          <w:sz w:val="26"/>
          <w:szCs w:val="26"/>
        </w:rPr>
        <w:t xml:space="preserve">u (ГИС Торги), </w:t>
      </w:r>
      <w:r>
        <w:rPr>
          <w:color w:val="000000"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www.irkfi. ru, www.mio.irkobl. </w:t>
      </w:r>
      <w:r>
        <w:rPr>
          <w:bCs/>
          <w:sz w:val="26"/>
          <w:szCs w:val="26"/>
          <w:lang w:val="en-US"/>
        </w:rPr>
        <w:t xml:space="preserve">r</w:t>
      </w:r>
      <w:r>
        <w:rPr>
          <w:bCs/>
          <w:sz w:val="26"/>
          <w:szCs w:val="26"/>
        </w:rPr>
        <w:t xml:space="preserve">u)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07"/>
        <w:numPr>
          <w:ilvl w:val="0"/>
          <w:numId w:val="12"/>
        </w:numPr>
        <w:ind w:left="0"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Уполномоченный орган,</w:t>
      </w:r>
      <w:r>
        <w:rPr>
          <w:b/>
          <w:sz w:val="26"/>
          <w:szCs w:val="26"/>
        </w:rPr>
        <w:t xml:space="preserve"> решение о проведении аукциона, организатор аукциона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pStyle w:val="907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основании распоряжения министерства имущественных отношений Иркутской области от 04.09.2026 №51-1770-мр/з «О проведении аукциона на право заключения договора аренды земельного участка, находящего</w:t>
      </w:r>
      <w:r>
        <w:rPr>
          <w:sz w:val="26"/>
          <w:szCs w:val="26"/>
        </w:rPr>
        <w:t xml:space="preserve">ся в государственной собственности Иркутской области», письма министерства имущественных отношений Иркутской области от 08.09.2026 №02-51-10239/26</w:t>
      </w:r>
      <w:r>
        <w:rPr>
          <w:sz w:val="26"/>
          <w:szCs w:val="26"/>
        </w:rPr>
        <w:t xml:space="preserve">, областное государственное казенное учреждение «Фонд имущества Иркутской области» (Далее - организатор аукцион</w:t>
      </w:r>
      <w:r>
        <w:rPr>
          <w:sz w:val="26"/>
          <w:szCs w:val="26"/>
        </w:rPr>
        <w:t xml:space="preserve">а) повторно подготовило аукцион в электронной форме на право заключения договора аренды земельного участка.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0"/>
        <w:ind w:firstLine="539"/>
        <w:jc w:val="both"/>
      </w:pPr>
      <w:r>
        <w:rPr>
          <w:sz w:val="26"/>
          <w:szCs w:val="26"/>
        </w:rPr>
        <w:t xml:space="preserve">Электронный аукцион является открытым по составу участников.</w:t>
      </w:r>
      <w:r/>
    </w:p>
    <w:p>
      <w:pPr>
        <w:pStyle w:val="880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</w:t>
      </w:r>
      <w:r>
        <w:rPr>
          <w:sz w:val="26"/>
          <w:szCs w:val="26"/>
        </w:rPr>
        <w:t xml:space="preserve">аявителем на участие в электронном аукционе может быть юридические и физические лица, в том числе индивидуальные предприниматели, имеющие электронную подпись, оформленную в соответствии с требованиями действующего законодательства удостоверяющим центром и </w:t>
      </w:r>
      <w:r>
        <w:rPr>
          <w:sz w:val="26"/>
          <w:szCs w:val="26"/>
        </w:rPr>
        <w:t xml:space="preserve">прошедшие регистрацию на электронной площадке, выполнившие требования регламента площадки.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2"/>
        <w:ind w:firstLine="539"/>
        <w:spacing w:after="0"/>
        <w:rPr>
          <w:b/>
          <w:bCs/>
          <w:color w:val="1c1c1c"/>
          <w:sz w:val="26"/>
          <w:szCs w:val="26"/>
        </w:rPr>
      </w:pPr>
      <w:r>
        <w:rPr>
          <w:b/>
          <w:bCs/>
          <w:color w:val="1c1c1c"/>
          <w:sz w:val="26"/>
          <w:szCs w:val="26"/>
        </w:rPr>
        <w:t xml:space="preserve">2. Наименование электронной площадки, место приема заявок, адрес</w:t>
      </w:r>
      <w:r>
        <w:rPr>
          <w:b/>
          <w:bCs/>
          <w:color w:val="1c1c1c"/>
          <w:sz w:val="26"/>
          <w:szCs w:val="26"/>
        </w:rPr>
        <w:t xml:space="preserve">, телефон </w:t>
      </w:r>
      <w:r>
        <w:rPr>
          <w:b/>
          <w:bCs/>
          <w:color w:val="1c1c1c"/>
          <w:sz w:val="26"/>
          <w:szCs w:val="26"/>
        </w:rPr>
      </w:r>
      <w:r>
        <w:rPr>
          <w:b/>
          <w:bCs/>
          <w:color w:val="1c1c1c"/>
          <w:sz w:val="26"/>
          <w:szCs w:val="26"/>
        </w:rPr>
      </w:r>
    </w:p>
    <w:p>
      <w:pPr>
        <w:pStyle w:val="882"/>
        <w:ind w:firstLine="567"/>
        <w:spacing w:after="0"/>
        <w:rPr>
          <w:b/>
          <w:bCs/>
          <w:color w:val="1c1c1c"/>
          <w:sz w:val="26"/>
          <w:szCs w:val="26"/>
        </w:rPr>
      </w:pPr>
      <w:r>
        <w:rPr>
          <w:rFonts w:eastAsia="Calibri"/>
          <w:sz w:val="26"/>
          <w:szCs w:val="26"/>
        </w:rPr>
        <w:t xml:space="preserve">Оператор электронной площадки – 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её функц</w:t>
      </w:r>
      <w:r>
        <w:rPr>
          <w:rFonts w:eastAsia="Calibri"/>
          <w:sz w:val="26"/>
          <w:szCs w:val="26"/>
        </w:rPr>
        <w:t xml:space="preserve">ионирование и включенное в перечень операторов электронных площадок, утвержденных Распоряжением Правительства Российской Федерации от 12.07.2018 №1447-р «Об утверждении перечней операторов электронных площадок и специализированных электронных площадок, пре</w:t>
      </w:r>
      <w:r>
        <w:rPr>
          <w:rFonts w:eastAsia="Calibri"/>
          <w:sz w:val="26"/>
          <w:szCs w:val="26"/>
        </w:rPr>
        <w:t xml:space="preserve">дусмотренных Федеральными законами от  05.04.2013 №44-ФЗ, от 18.07.2011 №223-ФЗ».</w:t>
      </w:r>
      <w:r>
        <w:rPr>
          <w:b/>
          <w:bCs/>
          <w:color w:val="1c1c1c"/>
          <w:sz w:val="26"/>
          <w:szCs w:val="26"/>
        </w:rPr>
      </w:r>
      <w:r>
        <w:rPr>
          <w:b/>
          <w:bCs/>
          <w:color w:val="1c1c1c"/>
          <w:sz w:val="26"/>
          <w:szCs w:val="26"/>
        </w:rPr>
      </w:r>
    </w:p>
    <w:p>
      <w:pPr>
        <w:pStyle w:val="882"/>
        <w:numPr>
          <w:ilvl w:val="0"/>
          <w:numId w:val="14"/>
        </w:numPr>
        <w:ind w:left="0" w:firstLine="709"/>
        <w:spacing w:after="0"/>
        <w:rPr>
          <w:bCs/>
          <w:color w:val="1c1c1c"/>
          <w:sz w:val="26"/>
          <w:szCs w:val="26"/>
        </w:rPr>
      </w:pPr>
      <w:r>
        <w:rPr>
          <w:bCs/>
          <w:color w:val="1c1c1c"/>
          <w:sz w:val="26"/>
          <w:szCs w:val="26"/>
        </w:rPr>
        <w:t xml:space="preserve">Наименование:</w:t>
      </w:r>
      <w:r>
        <w:rPr>
          <w:b/>
          <w:bCs/>
          <w:color w:val="1c1c1c"/>
          <w:sz w:val="26"/>
          <w:szCs w:val="26"/>
        </w:rPr>
        <w:t xml:space="preserve"> </w:t>
      </w:r>
      <w:r>
        <w:rPr>
          <w:bCs/>
          <w:color w:val="1c1c1c"/>
          <w:sz w:val="26"/>
          <w:szCs w:val="26"/>
        </w:rPr>
        <w:t xml:space="preserve">Акционерное общество «Сбербанк – Автоматизированная система торгов» (далее АО «Сбербанк-АСТ»)</w:t>
      </w:r>
      <w:r>
        <w:rPr>
          <w:bCs/>
          <w:color w:val="1c1c1c"/>
          <w:sz w:val="26"/>
          <w:szCs w:val="26"/>
        </w:rPr>
        <w:t xml:space="preserve"> </w:t>
      </w:r>
      <w:r>
        <w:rPr>
          <w:bCs/>
          <w:color w:val="1c1c1c"/>
          <w:sz w:val="26"/>
          <w:szCs w:val="26"/>
        </w:rPr>
      </w:r>
      <w:r>
        <w:rPr>
          <w:bCs/>
          <w:color w:val="1c1c1c"/>
          <w:sz w:val="26"/>
          <w:szCs w:val="26"/>
        </w:rPr>
      </w:r>
    </w:p>
    <w:p>
      <w:pPr>
        <w:pStyle w:val="907"/>
        <w:numPr>
          <w:ilvl w:val="0"/>
          <w:numId w:val="14"/>
        </w:numPr>
        <w:ind w:left="0" w:firstLine="709"/>
        <w:jc w:val="both"/>
        <w:spacing w:line="200" w:lineRule="atLeast"/>
        <w:rPr>
          <w:rStyle w:val="889"/>
          <w:rFonts w:eastAsia="Calibri"/>
          <w:color w:val="auto"/>
          <w:sz w:val="26"/>
          <w:szCs w:val="26"/>
          <w:u w:val="none"/>
        </w:rPr>
      </w:pPr>
      <w:r>
        <w:rPr>
          <w:rFonts w:eastAsia="Calibri"/>
          <w:sz w:val="26"/>
          <w:szCs w:val="26"/>
        </w:rPr>
        <w:t xml:space="preserve">Место подачи (приема) заявок: электронная площадка </w:t>
      </w:r>
      <w:r>
        <w:rPr>
          <w:b/>
          <w:sz w:val="26"/>
          <w:szCs w:val="26"/>
          <w:lang w:val="en-US"/>
        </w:rPr>
        <w:t xml:space="preserve">utp</w:t>
      </w:r>
      <w:r>
        <w:rPr>
          <w:b/>
          <w:sz w:val="26"/>
          <w:szCs w:val="26"/>
        </w:rPr>
        <w:t xml:space="preserve">.</w:t>
      </w:r>
      <w:hyperlink r:id="rId11" w:tooltip="http://sberbank-ast.ru" w:history="1">
        <w:r>
          <w:rPr>
            <w:rStyle w:val="889"/>
            <w:b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89"/>
            <w:b/>
            <w:color w:val="auto"/>
            <w:sz w:val="26"/>
            <w:szCs w:val="26"/>
            <w:u w:val="none"/>
          </w:rPr>
          <w:t xml:space="preserve">-</w:t>
        </w:r>
        <w:r>
          <w:rPr>
            <w:rStyle w:val="889"/>
            <w:b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89"/>
            <w:b/>
            <w:color w:val="auto"/>
            <w:sz w:val="26"/>
            <w:szCs w:val="26"/>
            <w:u w:val="none"/>
          </w:rPr>
          <w:t xml:space="preserve">.ru</w:t>
        </w:r>
      </w:hyperlink>
      <w:r>
        <w:rPr>
          <w:rStyle w:val="889"/>
          <w:rFonts w:eastAsia="Calibri"/>
          <w:color w:val="auto"/>
          <w:sz w:val="26"/>
          <w:szCs w:val="26"/>
          <w:u w:val="none"/>
        </w:rPr>
      </w:r>
      <w:r>
        <w:rPr>
          <w:rStyle w:val="889"/>
          <w:rFonts w:eastAsia="Calibri"/>
          <w:color w:val="auto"/>
          <w:sz w:val="26"/>
          <w:szCs w:val="26"/>
          <w:u w:val="none"/>
        </w:rPr>
      </w:r>
    </w:p>
    <w:p>
      <w:pPr>
        <w:pStyle w:val="907"/>
        <w:numPr>
          <w:ilvl w:val="0"/>
          <w:numId w:val="14"/>
        </w:numPr>
        <w:ind w:left="-142" w:firstLine="851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 Адрес (место нахождение): 119435, г. Москва, Большой Саввинский переулок, дом 12, стр., эт.1, пом. 1, комн.2. </w:t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pStyle w:val="907"/>
        <w:ind w:left="0"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Адрес электронной почты: </w:t>
      </w:r>
      <w:hyperlink r:id="rId12" w:tooltip="mailto:info@sberbank-ast.ru" w:history="1">
        <w:r>
          <w:rPr>
            <w:rStyle w:val="889"/>
            <w:rFonts w:eastAsia="Calibri"/>
            <w:sz w:val="26"/>
            <w:szCs w:val="26"/>
            <w:lang w:val="en-US"/>
          </w:rPr>
          <w:t xml:space="preserve">info</w:t>
        </w:r>
        <w:r>
          <w:rPr>
            <w:rStyle w:val="889"/>
            <w:rFonts w:eastAsia="Calibri"/>
            <w:sz w:val="26"/>
            <w:szCs w:val="26"/>
          </w:rPr>
          <w:t xml:space="preserve">@</w:t>
        </w:r>
        <w:r>
          <w:rPr>
            <w:rStyle w:val="889"/>
            <w:rFonts w:eastAsia="Calibri"/>
            <w:sz w:val="26"/>
            <w:szCs w:val="26"/>
            <w:lang w:val="en-US"/>
          </w:rPr>
          <w:t xml:space="preserve">sberbank</w:t>
        </w:r>
        <w:r>
          <w:rPr>
            <w:rStyle w:val="889"/>
            <w:rFonts w:eastAsia="Calibri"/>
            <w:sz w:val="26"/>
            <w:szCs w:val="26"/>
          </w:rPr>
          <w:t xml:space="preserve">-</w:t>
        </w:r>
        <w:r>
          <w:rPr>
            <w:rStyle w:val="889"/>
            <w:rFonts w:eastAsia="Calibri"/>
            <w:sz w:val="26"/>
            <w:szCs w:val="26"/>
            <w:lang w:val="en-US"/>
          </w:rPr>
          <w:t xml:space="preserve">ast</w:t>
        </w:r>
        <w:r>
          <w:rPr>
            <w:rStyle w:val="889"/>
            <w:rFonts w:eastAsia="Calibri"/>
            <w:sz w:val="26"/>
            <w:szCs w:val="26"/>
          </w:rPr>
          <w:t xml:space="preserve">.</w:t>
        </w:r>
        <w:r>
          <w:rPr>
            <w:rStyle w:val="889"/>
            <w:rFonts w:eastAsia="Calibri"/>
            <w:sz w:val="26"/>
            <w:szCs w:val="26"/>
            <w:lang w:val="en-US"/>
          </w:rPr>
          <w:t xml:space="preserve">ru</w:t>
        </w:r>
      </w:hyperlink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ind w:firstLine="708"/>
        <w:rPr>
          <w:rFonts w:eastAsiaTheme="minorEastAsia"/>
          <w:sz w:val="26"/>
          <w:szCs w:val="26"/>
        </w:rPr>
      </w:pPr>
      <w:r>
        <w:rPr>
          <w:rFonts w:eastAsia="Calibri"/>
          <w:sz w:val="26"/>
          <w:szCs w:val="26"/>
        </w:rPr>
        <w:t xml:space="preserve">Телефон: </w:t>
      </w:r>
      <w:r>
        <w:rPr>
          <w:rFonts w:eastAsiaTheme="minorEastAsia"/>
          <w:sz w:val="26"/>
          <w:szCs w:val="26"/>
        </w:rPr>
        <w:t xml:space="preserve">+7 (495) 787-29-97, +7 (495) 787-29-99, +7 (495) 539-59-21, доб. «29»</w:t>
      </w:r>
      <w:r>
        <w:rPr>
          <w:rFonts w:eastAsiaTheme="minorEastAsia"/>
          <w:sz w:val="26"/>
          <w:szCs w:val="26"/>
        </w:rPr>
      </w:r>
      <w:r>
        <w:rPr>
          <w:rFonts w:eastAsiaTheme="minorEastAsia"/>
          <w:sz w:val="26"/>
          <w:szCs w:val="26"/>
        </w:rPr>
      </w:r>
    </w:p>
    <w:p>
      <w:pPr>
        <w:pStyle w:val="882"/>
        <w:ind w:left="568" w:firstLine="0"/>
        <w:spacing w:after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3. Сроки подачи (приема) заявок, определения участников и проведения электронного а</w:t>
      </w:r>
      <w:r>
        <w:rPr>
          <w:b/>
          <w:bCs/>
          <w:sz w:val="26"/>
          <w:szCs w:val="26"/>
        </w:rPr>
        <w:t xml:space="preserve">укциона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1) Дата и время начала подачи (приема) заявок: </w:t>
      </w:r>
      <w:r>
        <w:rPr>
          <w:rFonts w:eastAsia="Calibri"/>
          <w:b/>
          <w:bCs/>
          <w:sz w:val="26"/>
          <w:szCs w:val="26"/>
          <w:highlight w:val="white"/>
        </w:rPr>
        <w:t xml:space="preserve">1</w:t>
      </w:r>
      <w:r>
        <w:rPr>
          <w:rFonts w:eastAsia="Calibri"/>
          <w:b/>
          <w:bCs/>
          <w:sz w:val="26"/>
          <w:szCs w:val="26"/>
          <w:highlight w:val="white"/>
        </w:rPr>
        <w:t xml:space="preserve">6.09</w:t>
      </w:r>
      <w:r>
        <w:rPr>
          <w:rFonts w:eastAsia="Calibri"/>
          <w:b/>
          <w:bCs/>
          <w:sz w:val="26"/>
          <w:szCs w:val="26"/>
          <w:highlight w:val="white"/>
        </w:rPr>
        <w:t xml:space="preserve">.</w:t>
      </w:r>
      <w:r>
        <w:rPr>
          <w:rFonts w:eastAsia="Calibri"/>
          <w:b/>
          <w:bCs/>
          <w:sz w:val="26"/>
          <w:szCs w:val="26"/>
          <w:highlight w:val="white"/>
        </w:rPr>
        <w:t xml:space="preserve">2026</w:t>
      </w:r>
      <w:r>
        <w:rPr>
          <w:b/>
          <w:sz w:val="26"/>
          <w:szCs w:val="26"/>
          <w:highlight w:val="white"/>
        </w:rPr>
        <w:t xml:space="preserve"> года</w:t>
      </w:r>
      <w:r>
        <w:rPr>
          <w:b/>
          <w:sz w:val="26"/>
          <w:szCs w:val="26"/>
        </w:rPr>
        <w:t xml:space="preserve"> в 10 час. 00 мин. </w:t>
      </w:r>
      <w:r>
        <w:rPr>
          <w:rFonts w:eastAsia="Calibri"/>
          <w:sz w:val="26"/>
          <w:szCs w:val="26"/>
        </w:rPr>
        <w:t xml:space="preserve">по местному времени. Подача заявок осуществляется круглосуточно.</w:t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2) Дата и время окончания подачи (приема) заявок:</w:t>
      </w:r>
      <w:r>
        <w:rPr>
          <w:rFonts w:eastAsia="Calibri"/>
          <w:b/>
          <w:bCs/>
          <w:sz w:val="26"/>
          <w:szCs w:val="26"/>
        </w:rPr>
        <w:t xml:space="preserve"> 14</w:t>
      </w:r>
      <w:r>
        <w:rPr>
          <w:rFonts w:eastAsia="Calibri"/>
          <w:b/>
          <w:bCs/>
          <w:sz w:val="26"/>
          <w:szCs w:val="26"/>
          <w:highlight w:val="white"/>
          <w:shd w:val="clear" w:color="ffffff" w:themeColor="background1" w:fill="ffffff" w:themeFill="background1"/>
        </w:rPr>
        <w:t xml:space="preserve">.10.</w:t>
      </w:r>
      <w:r>
        <w:rPr>
          <w:rFonts w:eastAsia="Calibri"/>
          <w:b/>
          <w:sz w:val="26"/>
          <w:szCs w:val="26"/>
          <w:highlight w:val="white"/>
          <w:shd w:val="clear" w:color="ffffff" w:themeColor="background1" w:fill="ffffff" w:themeFill="background1"/>
        </w:rPr>
        <w:t xml:space="preserve">2026</w:t>
      </w:r>
      <w:r>
        <w:rPr>
          <w:rFonts w:eastAsia="Calibri"/>
          <w:b/>
          <w:sz w:val="26"/>
          <w:szCs w:val="26"/>
          <w:highlight w:val="white"/>
          <w:shd w:val="clear" w:color="ffffff" w:themeColor="background1" w:fill="ffffff" w:themeFill="background1"/>
        </w:rPr>
        <w:t xml:space="preserve"> г</w:t>
      </w:r>
      <w:r>
        <w:rPr>
          <w:rFonts w:eastAsia="Calibri"/>
          <w:b/>
          <w:sz w:val="26"/>
          <w:szCs w:val="26"/>
        </w:rPr>
        <w:t xml:space="preserve">ода в 10 час. 00 мин.</w:t>
      </w:r>
      <w:r>
        <w:rPr>
          <w:rFonts w:eastAsia="Calibri"/>
          <w:sz w:val="26"/>
          <w:szCs w:val="26"/>
        </w:rPr>
        <w:t xml:space="preserve"> по местному времен</w:t>
      </w:r>
      <w:r>
        <w:rPr>
          <w:rFonts w:eastAsia="Calibri"/>
          <w:sz w:val="26"/>
          <w:szCs w:val="26"/>
        </w:rPr>
        <w:t xml:space="preserve">и.</w:t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b/>
          <w:sz w:val="26"/>
          <w:szCs w:val="26"/>
        </w:rPr>
      </w:pPr>
      <w:r>
        <w:rPr>
          <w:rFonts w:eastAsia="Calibri"/>
          <w:sz w:val="26"/>
          <w:szCs w:val="26"/>
        </w:rPr>
        <w:t xml:space="preserve">3) Дата рассмотрения заявок</w:t>
      </w:r>
      <w:r>
        <w:rPr>
          <w:rFonts w:eastAsia="Calibri"/>
          <w:b/>
          <w:bCs/>
          <w:sz w:val="26"/>
          <w:szCs w:val="26"/>
        </w:rPr>
        <w:t xml:space="preserve">: 15.1</w:t>
      </w:r>
      <w:r>
        <w:rPr>
          <w:rFonts w:eastAsia="Calibri"/>
          <w:b/>
          <w:bCs/>
          <w:sz w:val="26"/>
          <w:szCs w:val="26"/>
          <w:highlight w:val="white"/>
        </w:rPr>
        <w:t xml:space="preserve">0</w:t>
      </w:r>
      <w:r>
        <w:rPr>
          <w:rFonts w:eastAsia="Calibri"/>
          <w:b/>
          <w:bCs/>
          <w:sz w:val="26"/>
          <w:szCs w:val="26"/>
          <w:highlight w:val="white"/>
        </w:rPr>
        <w:t xml:space="preserve">.</w:t>
      </w:r>
      <w:r>
        <w:rPr>
          <w:rFonts w:eastAsia="Calibri"/>
          <w:b/>
          <w:sz w:val="26"/>
          <w:szCs w:val="26"/>
          <w:highlight w:val="white"/>
        </w:rPr>
        <w:t xml:space="preserve">2</w:t>
      </w:r>
      <w:r>
        <w:rPr>
          <w:rFonts w:eastAsia="Calibri"/>
          <w:b/>
          <w:sz w:val="26"/>
          <w:szCs w:val="26"/>
        </w:rPr>
        <w:t xml:space="preserve">026 года.</w:t>
      </w:r>
      <w:r>
        <w:rPr>
          <w:rFonts w:eastAsia="Calibri"/>
          <w:b/>
          <w:sz w:val="26"/>
          <w:szCs w:val="26"/>
        </w:rPr>
      </w:r>
      <w:r>
        <w:rPr>
          <w:rFonts w:eastAsia="Calibri"/>
          <w:b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4) Дата и время начала проведения электронного аукциона:</w:t>
      </w:r>
      <w:r>
        <w:rPr>
          <w:rFonts w:eastAsia="Calibri"/>
          <w:b/>
          <w:bCs/>
          <w:sz w:val="26"/>
          <w:szCs w:val="26"/>
        </w:rPr>
        <w:t xml:space="preserve"> </w:t>
      </w:r>
      <w:r>
        <w:rPr>
          <w:rFonts w:eastAsia="Calibri"/>
          <w:b/>
          <w:bCs/>
          <w:sz w:val="26"/>
          <w:szCs w:val="26"/>
          <w:highlight w:val="white"/>
        </w:rPr>
        <w:t xml:space="preserve">16</w:t>
      </w:r>
      <w:r>
        <w:rPr>
          <w:rFonts w:eastAsia="Calibri"/>
          <w:b/>
          <w:bCs/>
          <w:sz w:val="26"/>
          <w:szCs w:val="26"/>
          <w:highlight w:val="white"/>
        </w:rPr>
        <w:t xml:space="preserve">.10.2026</w:t>
      </w:r>
      <w:r>
        <w:rPr>
          <w:rFonts w:eastAsia="Calibri"/>
          <w:b/>
          <w:bCs/>
          <w:sz w:val="26"/>
          <w:szCs w:val="26"/>
        </w:rPr>
        <w:t xml:space="preserve"> го</w:t>
      </w:r>
      <w:r>
        <w:rPr>
          <w:rFonts w:eastAsia="Calibri"/>
          <w:b/>
          <w:sz w:val="26"/>
          <w:szCs w:val="26"/>
        </w:rPr>
        <w:t xml:space="preserve">да</w:t>
      </w:r>
      <w:r>
        <w:rPr>
          <w:rFonts w:eastAsia="Calibri"/>
          <w:sz w:val="26"/>
          <w:szCs w:val="26"/>
        </w:rPr>
        <w:t xml:space="preserve"> </w:t>
        <w:br/>
        <w:t xml:space="preserve">в </w:t>
      </w:r>
      <w:r>
        <w:rPr>
          <w:rFonts w:eastAsia="Calibri"/>
          <w:b/>
          <w:bCs/>
          <w:sz w:val="26"/>
          <w:szCs w:val="26"/>
        </w:rPr>
        <w:t xml:space="preserve">09 </w:t>
      </w:r>
      <w:r>
        <w:rPr>
          <w:rFonts w:eastAsia="Calibri"/>
          <w:b/>
          <w:sz w:val="26"/>
          <w:szCs w:val="26"/>
        </w:rPr>
        <w:t xml:space="preserve">час. 00 мин. </w:t>
      </w:r>
      <w:r>
        <w:rPr>
          <w:rFonts w:eastAsia="Calibri"/>
          <w:sz w:val="26"/>
          <w:szCs w:val="26"/>
        </w:rPr>
        <w:t xml:space="preserve">по местному времени до последнего предложения участников.</w:t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pStyle w:val="880"/>
        <w:ind w:left="568" w:firstLine="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4. Предмет аукциона</w:t>
      </w:r>
      <w:r>
        <w:rPr>
          <w:sz w:val="26"/>
          <w:szCs w:val="26"/>
        </w:rPr>
        <w:t xml:space="preserve"> право заключения договора</w:t>
      </w:r>
      <w:r>
        <w:rPr>
          <w:sz w:val="26"/>
          <w:szCs w:val="26"/>
        </w:rPr>
        <w:t xml:space="preserve"> аренды земельного участка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ind w:firstLine="709"/>
        <w:jc w:val="both"/>
        <w:tabs>
          <w:tab w:val="left" w:pos="540" w:leader="none"/>
          <w:tab w:val="left" w:pos="720" w:leader="none"/>
        </w:tabs>
        <w:rPr>
          <w:sz w:val="26"/>
          <w:szCs w:val="26"/>
        </w:rPr>
      </w:pPr>
      <w:r>
        <w:rPr>
          <w:b/>
          <w:sz w:val="26"/>
          <w:szCs w:val="26"/>
        </w:rPr>
        <w:t xml:space="preserve">Характеристика земельного участка: </w:t>
      </w:r>
      <w:r>
        <w:rPr>
          <w:sz w:val="26"/>
          <w:szCs w:val="26"/>
        </w:rPr>
        <w:t xml:space="preserve">земельный участок из земель населённых пунктов площадью 1500 кв.м с кадастровым номером 85:05:020201:551, адрес: Российская Федерация, Иркутская область, Осинский район, с.Каха, ул. Центральная уч. 28а.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Право на земельный участок: </w:t>
      </w:r>
      <w:r>
        <w:rPr>
          <w:bCs/>
          <w:sz w:val="26"/>
          <w:szCs w:val="26"/>
        </w:rPr>
        <w:t xml:space="preserve">государственная собственность (Иркутская область).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contextualSpacing/>
        <w:ind w:firstLine="709"/>
        <w:jc w:val="both"/>
        <w:tabs>
          <w:tab w:val="left" w:pos="540" w:leader="none"/>
          <w:tab w:val="left" w:pos="720" w:leader="none"/>
        </w:tabs>
        <w:rPr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ab/>
        <w:t xml:space="preserve">Категория земель: </w:t>
      </w:r>
      <w:r>
        <w:rPr>
          <w:bCs/>
          <w:iCs/>
          <w:sz w:val="26"/>
          <w:szCs w:val="26"/>
        </w:rPr>
        <w:t xml:space="preserve">земли населённых пунктов.</w:t>
      </w:r>
      <w:r>
        <w:rPr>
          <w:bCs/>
          <w:iCs/>
          <w:sz w:val="26"/>
          <w:szCs w:val="26"/>
        </w:rPr>
      </w:r>
      <w:r>
        <w:rPr>
          <w:bCs/>
          <w:iCs/>
          <w:sz w:val="26"/>
          <w:szCs w:val="26"/>
        </w:rPr>
      </w:r>
    </w:p>
    <w:p>
      <w:pPr>
        <w:contextualSpacing/>
        <w:ind w:firstLine="709"/>
        <w:jc w:val="both"/>
        <w:tabs>
          <w:tab w:val="left" w:pos="540" w:leader="none"/>
          <w:tab w:val="left" w:pos="720" w:leader="none"/>
        </w:tabs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Основные виды разрешенного использования:</w:t>
      </w:r>
      <w:r>
        <w:rPr>
          <w:sz w:val="26"/>
          <w:szCs w:val="26"/>
        </w:rPr>
        <w:t xml:space="preserve"> спорт.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tabs>
          <w:tab w:val="left" w:pos="567" w:leader="none"/>
        </w:tabs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Срок действия договора аренды: 58 месяцев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contextualSpacing/>
        <w:ind w:firstLine="709"/>
        <w:jc w:val="both"/>
        <w:tabs>
          <w:tab w:val="left" w:pos="540" w:leader="none"/>
          <w:tab w:val="left" w:pos="720" w:leader="none"/>
        </w:tabs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ab/>
        <w:t xml:space="preserve">Начальный размер годовой арендной платы:</w:t>
      </w:r>
      <w:r>
        <w:rPr>
          <w:sz w:val="26"/>
          <w:szCs w:val="26"/>
        </w:rPr>
        <w:t xml:space="preserve"> 21 700 </w:t>
      </w:r>
      <w:r>
        <w:rPr>
          <w:bCs/>
          <w:sz w:val="26"/>
          <w:szCs w:val="26"/>
        </w:rPr>
        <w:t xml:space="preserve">(Двадцать одна тысяча семьсот</w:t>
      </w:r>
      <w:r>
        <w:rPr>
          <w:bCs/>
          <w:sz w:val="26"/>
          <w:szCs w:val="26"/>
        </w:rPr>
        <w:t xml:space="preserve">) рублей.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contextualSpacing/>
        <w:ind w:firstLine="709"/>
        <w:jc w:val="both"/>
        <w:tabs>
          <w:tab w:val="left" w:pos="540" w:leader="none"/>
          <w:tab w:val="left" w:pos="720" w:leader="none"/>
        </w:tabs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ab/>
        <w:t xml:space="preserve">Шаг аукциона: </w:t>
      </w:r>
      <w:r>
        <w:rPr>
          <w:bCs/>
          <w:sz w:val="26"/>
          <w:szCs w:val="26"/>
        </w:rPr>
        <w:t xml:space="preserve">3% от начального размера годовой арендной платы в сумме</w:t>
      </w:r>
      <w:r>
        <w:rPr>
          <w:b/>
          <w:bCs/>
          <w:sz w:val="26"/>
          <w:szCs w:val="26"/>
        </w:rPr>
        <w:t xml:space="preserve"> </w:t>
        <w:br/>
      </w:r>
      <w:r>
        <w:rPr>
          <w:b w:val="0"/>
          <w:bCs w:val="0"/>
          <w:sz w:val="26"/>
          <w:szCs w:val="26"/>
        </w:rPr>
        <w:t xml:space="preserve">651</w:t>
      </w:r>
      <w:r>
        <w:rPr>
          <w:b w:val="0"/>
          <w:bCs w:val="0"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(Шестьсот пятьдесят один) рубль.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contextualSpacing/>
        <w:ind w:firstLine="709"/>
        <w:jc w:val="both"/>
        <w:tabs>
          <w:tab w:val="left" w:pos="540" w:leader="none"/>
          <w:tab w:val="left" w:pos="720" w:leader="none"/>
        </w:tabs>
        <w:rPr>
          <w:sz w:val="26"/>
          <w:szCs w:val="26"/>
        </w:rPr>
      </w:pPr>
      <w:r>
        <w:rPr>
          <w:b/>
          <w:bCs/>
          <w:sz w:val="26"/>
          <w:szCs w:val="26"/>
        </w:rPr>
        <w:tab/>
        <w:t xml:space="preserve">Размер задатка: </w:t>
      </w:r>
      <w:r>
        <w:rPr>
          <w:bCs/>
          <w:sz w:val="26"/>
          <w:szCs w:val="26"/>
        </w:rPr>
        <w:t xml:space="preserve">100 % начального размера годовой арендной платы в сумме</w:t>
      </w:r>
      <w:r>
        <w:rPr>
          <w:sz w:val="26"/>
          <w:szCs w:val="26"/>
        </w:rPr>
        <w:t xml:space="preserve"> </w:t>
        <w:br/>
      </w:r>
      <w:r>
        <w:rPr>
          <w:sz w:val="26"/>
          <w:szCs w:val="26"/>
        </w:rPr>
        <w:t xml:space="preserve">21 700 </w:t>
      </w:r>
      <w:r>
        <w:rPr>
          <w:bCs/>
          <w:sz w:val="26"/>
          <w:szCs w:val="26"/>
        </w:rPr>
        <w:t xml:space="preserve">(Двадцать одна тысяча семьсот</w:t>
      </w:r>
      <w:r>
        <w:rPr>
          <w:bCs/>
          <w:sz w:val="26"/>
          <w:szCs w:val="26"/>
        </w:rPr>
        <w:t xml:space="preserve">)</w:t>
      </w:r>
      <w:r>
        <w:rPr>
          <w:bCs/>
          <w:sz w:val="26"/>
          <w:szCs w:val="26"/>
        </w:rPr>
        <w:t xml:space="preserve"> рублей.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contextualSpacing/>
        <w:ind w:left="0" w:right="0" w:firstLine="709"/>
        <w:jc w:val="both"/>
        <w:tabs>
          <w:tab w:val="left" w:pos="540" w:leader="none"/>
          <w:tab w:val="left" w:pos="720" w:leader="none"/>
        </w:tabs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Дополнительная информация: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Согласно выписки из Единого государственного реестра недвижимости от 01.06.2026 </w:t>
      </w:r>
      <w:r>
        <w:t xml:space="preserve">№ КУВИ-001/2026-73855055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568" w:firstLine="0"/>
        <w:jc w:val="both"/>
        <w:spacing w:line="200" w:lineRule="atLeast"/>
        <w:rPr>
          <w:rFonts w:eastAsia="Calibri"/>
          <w:b/>
          <w:bCs/>
          <w:color w:val="1c1c1c"/>
          <w:sz w:val="26"/>
          <w:szCs w:val="26"/>
        </w:rPr>
      </w:pPr>
      <w:r>
        <w:rPr>
          <w:rFonts w:eastAsia="Calibri"/>
          <w:b/>
          <w:bCs/>
          <w:color w:val="1c1c1c"/>
          <w:sz w:val="26"/>
          <w:szCs w:val="26"/>
        </w:rPr>
        <w:t xml:space="preserve">5. Возможность отказаться от прове</w:t>
      </w:r>
      <w:r>
        <w:rPr>
          <w:rFonts w:eastAsia="Calibri"/>
          <w:b/>
          <w:bCs/>
          <w:color w:val="1c1c1c"/>
          <w:sz w:val="26"/>
          <w:szCs w:val="26"/>
        </w:rPr>
        <w:t xml:space="preserve">дения электронного аукциона, внесений изменений в извещение о проведении аукциона и продлении срока подачи заявок</w:t>
      </w:r>
      <w:r>
        <w:rPr>
          <w:rFonts w:eastAsia="Calibri"/>
          <w:b/>
          <w:bCs/>
          <w:color w:val="1c1c1c"/>
          <w:sz w:val="26"/>
          <w:szCs w:val="26"/>
        </w:rPr>
      </w:r>
      <w:r>
        <w:rPr>
          <w:rFonts w:eastAsia="Calibri"/>
          <w:b/>
          <w:bCs/>
          <w:color w:val="1c1c1c"/>
          <w:sz w:val="26"/>
          <w:szCs w:val="26"/>
        </w:rPr>
      </w:r>
    </w:p>
    <w:p>
      <w:pPr>
        <w:pStyle w:val="891"/>
        <w:ind w:left="0"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Уполномоченный орган принимает решение об отказе в проведении аукциона в случае выявления обстоятельств, предусмотренных </w:t>
      </w:r>
      <w:hyperlink w:tooltip="8. Земельный участок, находящийся в государственной или муниципальной собственности, не может быть предметом аукциона, если:" w:anchor="P1229" w:history="1">
        <w:r>
          <w:rPr>
            <w:rFonts w:ascii="Times New Roman" w:hAnsi="Times New Roman" w:cs="Times New Roman"/>
            <w:sz w:val="26"/>
            <w:szCs w:val="26"/>
          </w:rPr>
          <w:t xml:space="preserve">пунктом 8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статьи 39.11 Земельного кодекса Российской Федерации.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907"/>
        <w:ind w:left="0" w:right="0" w:firstLine="709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Извещение об отказе в проведении аукцио</w:t>
      </w:r>
      <w:r>
        <w:rPr>
          <w:sz w:val="26"/>
          <w:szCs w:val="26"/>
        </w:rPr>
        <w:t xml:space="preserve">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</w:t>
      </w:r>
      <w:r>
        <w:rPr>
          <w:sz w:val="26"/>
          <w:szCs w:val="26"/>
        </w:rPr>
        <w:t xml:space="preserve">в проведении аукциона и возвратить его участникам внесенные задатки.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07"/>
        <w:ind w:left="0" w:right="0" w:firstLine="709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Уполномоченный орган не позднее чем за один рабочий день до даты окончания приема заявок на участие в аукционе вправе принять решение о внесении изменений в извещение о проведении аукцион</w:t>
      </w:r>
      <w:r>
        <w:rPr>
          <w:sz w:val="26"/>
          <w:szCs w:val="26"/>
        </w:rPr>
        <w:t xml:space="preserve">а в целях исправления технических ошибок, не связанных с предметом аукциона, начальной ценой предмета аукциона, "шагом аукциона", размером задатка, со сроком заключаемого по результатам аукциона договора аренды, а также с видом права, на котором земельный </w:t>
      </w:r>
      <w:r>
        <w:rPr>
          <w:sz w:val="26"/>
          <w:szCs w:val="26"/>
        </w:rPr>
        <w:t xml:space="preserve">участок предоставляется по результатам аукциона.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07"/>
        <w:ind w:left="0" w:right="0" w:firstLine="709"/>
        <w:jc w:val="both"/>
        <w:spacing w:line="200" w:lineRule="atLeast"/>
        <w:rPr>
          <w:rFonts w:eastAsia="Calibri"/>
          <w:b/>
          <w:bCs/>
          <w:color w:val="1c1c1c"/>
          <w:sz w:val="26"/>
          <w:szCs w:val="26"/>
        </w:rPr>
      </w:pPr>
      <w:r>
        <w:rPr>
          <w:sz w:val="26"/>
          <w:szCs w:val="26"/>
        </w:rPr>
        <w:t xml:space="preserve">В случае, если за один рабочий день до даты окончания приема заявок на участие в аукционе не поступило ни одной заявки, уполномоченный орган до момента окончания срока подачи заявок на участие в аукционе мож</w:t>
      </w:r>
      <w:r>
        <w:rPr>
          <w:sz w:val="26"/>
          <w:szCs w:val="26"/>
        </w:rPr>
        <w:t xml:space="preserve">ет принять решение о продлении срока подачи заявок</w:t>
      </w:r>
      <w:r>
        <w:rPr>
          <w:rFonts w:eastAsia="Calibri"/>
          <w:b/>
          <w:bCs/>
          <w:color w:val="1c1c1c"/>
          <w:sz w:val="26"/>
          <w:szCs w:val="26"/>
        </w:rPr>
      </w:r>
      <w:r>
        <w:rPr>
          <w:rFonts w:eastAsia="Calibri"/>
          <w:b/>
          <w:bCs/>
          <w:color w:val="1c1c1c"/>
          <w:sz w:val="26"/>
          <w:szCs w:val="26"/>
        </w:rPr>
      </w:r>
    </w:p>
    <w:p>
      <w:pPr>
        <w:ind w:left="568" w:firstLine="0"/>
        <w:jc w:val="both"/>
        <w:spacing w:line="200" w:lineRule="atLeast"/>
        <w:rPr>
          <w:rFonts w:cs="Calibri"/>
          <w:b/>
          <w:color w:val="000000"/>
          <w:sz w:val="26"/>
          <w:szCs w:val="26"/>
        </w:rPr>
      </w:pPr>
      <w:r>
        <w:rPr>
          <w:rFonts w:eastAsia="Calibri"/>
          <w:b/>
          <w:bCs/>
          <w:color w:val="1c1c1c"/>
          <w:sz w:val="26"/>
          <w:szCs w:val="26"/>
        </w:rPr>
        <w:t xml:space="preserve">6. Срок и порядок регистрации на электронной площадке</w:t>
      </w:r>
      <w:r>
        <w:rPr>
          <w:rFonts w:cs="Calibri"/>
          <w:b/>
          <w:color w:val="000000"/>
          <w:sz w:val="26"/>
          <w:szCs w:val="26"/>
        </w:rPr>
      </w:r>
      <w:r>
        <w:rPr>
          <w:rFonts w:cs="Calibri"/>
          <w:b/>
          <w:color w:val="000000"/>
          <w:sz w:val="26"/>
          <w:szCs w:val="26"/>
        </w:rPr>
      </w:r>
    </w:p>
    <w:p>
      <w:pPr>
        <w:ind w:firstLine="709"/>
        <w:jc w:val="both"/>
        <w:rPr>
          <w:rFonts w:cs="Calibri"/>
          <w:bCs/>
          <w:color w:val="000000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 xml:space="preserve">Для обеспечения доступа к участию в </w:t>
      </w:r>
      <w:r>
        <w:rPr>
          <w:sz w:val="26"/>
          <w:szCs w:val="26"/>
        </w:rPr>
        <w:t xml:space="preserve">электронном</w:t>
      </w:r>
      <w:r>
        <w:rPr>
          <w:rFonts w:cs="Calibri"/>
          <w:color w:val="000000"/>
          <w:sz w:val="26"/>
          <w:szCs w:val="26"/>
        </w:rPr>
        <w:t xml:space="preserve"> аукционе заявителям необходимо пройти процедуру регистрации в соответствии с регламентом электронной площ</w:t>
      </w:r>
      <w:r>
        <w:rPr>
          <w:rFonts w:cs="Calibri"/>
          <w:color w:val="000000"/>
          <w:sz w:val="26"/>
          <w:szCs w:val="26"/>
        </w:rPr>
        <w:t xml:space="preserve">адки оператора </w:t>
      </w:r>
      <w:r>
        <w:rPr>
          <w:bCs/>
          <w:color w:val="1c1c1c"/>
          <w:sz w:val="26"/>
          <w:szCs w:val="26"/>
        </w:rPr>
        <w:t xml:space="preserve">АО «Сбербанк-АСТ» (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13" w:tooltip="http://sberbank-ast.ru" w:history="1">
        <w:r>
          <w:rPr>
            <w:rStyle w:val="889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89"/>
            <w:color w:val="auto"/>
            <w:sz w:val="26"/>
            <w:szCs w:val="26"/>
            <w:u w:val="none"/>
          </w:rPr>
          <w:t xml:space="preserve">-</w:t>
        </w:r>
        <w:r>
          <w:rPr>
            <w:rStyle w:val="889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89"/>
            <w:color w:val="auto"/>
            <w:sz w:val="26"/>
            <w:szCs w:val="26"/>
            <w:u w:val="none"/>
          </w:rPr>
          <w:t xml:space="preserve">.ru</w:t>
        </w:r>
      </w:hyperlink>
      <w:r>
        <w:rPr>
          <w:rStyle w:val="889"/>
          <w:color w:val="auto"/>
          <w:sz w:val="26"/>
          <w:szCs w:val="26"/>
        </w:rPr>
        <w:t xml:space="preserve">)</w:t>
      </w:r>
      <w:r>
        <w:rPr>
          <w:rFonts w:cs="Calibri"/>
          <w:color w:val="000000"/>
          <w:sz w:val="26"/>
          <w:szCs w:val="26"/>
        </w:rPr>
        <w:t xml:space="preserve"> (далее - </w:t>
      </w:r>
      <w:r>
        <w:rPr>
          <w:rFonts w:cs="Calibri"/>
          <w:bCs/>
          <w:color w:val="000000"/>
          <w:sz w:val="26"/>
          <w:szCs w:val="26"/>
        </w:rPr>
        <w:t xml:space="preserve">электронная площадка</w:t>
      </w:r>
      <w:r>
        <w:rPr>
          <w:rFonts w:cs="Calibri"/>
          <w:color w:val="000000"/>
          <w:sz w:val="26"/>
          <w:szCs w:val="26"/>
        </w:rPr>
        <w:t xml:space="preserve">).</w:t>
      </w:r>
      <w:r>
        <w:rPr>
          <w:rFonts w:cs="Calibri"/>
          <w:bCs/>
          <w:color w:val="000000"/>
          <w:sz w:val="26"/>
          <w:szCs w:val="26"/>
        </w:rPr>
        <w:t xml:space="preserve"> Для прохождения процедуры регистрации заявителю необходимо получить усиленную квалифицирован</w:t>
      </w:r>
      <w:r>
        <w:rPr>
          <w:rFonts w:cs="Calibri"/>
          <w:bCs/>
          <w:color w:val="000000"/>
          <w:sz w:val="26"/>
          <w:szCs w:val="26"/>
        </w:rPr>
        <w:t xml:space="preserve">ную электронную подпись (далее - КЭП) в аккредитованном удостоверяющем центре.</w:t>
      </w:r>
      <w:r>
        <w:rPr>
          <w:rFonts w:cs="Calibri"/>
          <w:bCs/>
          <w:color w:val="000000"/>
          <w:sz w:val="26"/>
          <w:szCs w:val="26"/>
        </w:rPr>
      </w:r>
      <w:r>
        <w:rPr>
          <w:rFonts w:cs="Calibri"/>
          <w:bCs/>
          <w:color w:val="000000"/>
          <w:sz w:val="26"/>
          <w:szCs w:val="26"/>
        </w:rPr>
      </w:r>
    </w:p>
    <w:p>
      <w:pPr>
        <w:ind w:firstLine="709"/>
        <w:jc w:val="both"/>
        <w:rPr>
          <w:rFonts w:cs="Calibri"/>
          <w:color w:val="000000"/>
          <w:sz w:val="26"/>
          <w:szCs w:val="26"/>
        </w:rPr>
      </w:pPr>
      <w:r>
        <w:rPr>
          <w:rFonts w:cs="Calibri"/>
          <w:bCs/>
          <w:color w:val="000000"/>
          <w:sz w:val="26"/>
          <w:szCs w:val="26"/>
        </w:rPr>
        <w:t xml:space="preserve">Регистрация на электронной площадке заявителей </w:t>
      </w:r>
      <w:r>
        <w:rPr>
          <w:rFonts w:cs="Calibri"/>
          <w:color w:val="000000"/>
          <w:sz w:val="26"/>
          <w:szCs w:val="26"/>
        </w:rPr>
        <w:t xml:space="preserve">на участие в электронном аукционе осуществляется ежедневно, круглосуточно, но не позднее даты и времени окончания подачи (приема) </w:t>
      </w:r>
      <w:r>
        <w:rPr>
          <w:rFonts w:cs="Calibri"/>
          <w:color w:val="000000"/>
          <w:sz w:val="26"/>
          <w:szCs w:val="26"/>
        </w:rPr>
        <w:t xml:space="preserve">заявок, указанных в информационном сообщении.</w:t>
      </w:r>
      <w:r>
        <w:rPr>
          <w:rFonts w:cs="Calibri"/>
          <w:color w:val="000000"/>
          <w:sz w:val="26"/>
          <w:szCs w:val="26"/>
        </w:rPr>
      </w:r>
      <w:r>
        <w:rPr>
          <w:rFonts w:cs="Calibri"/>
          <w:color w:val="000000"/>
          <w:sz w:val="26"/>
          <w:szCs w:val="26"/>
        </w:rPr>
      </w:r>
    </w:p>
    <w:p>
      <w:pPr>
        <w:ind w:firstLine="709"/>
        <w:jc w:val="both"/>
        <w:rPr>
          <w:rFonts w:cs="Calibri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 xml:space="preserve">Регистрация на электронной площадке осуществляется без взимания платы.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ind w:firstLine="709"/>
        <w:jc w:val="both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 xml:space="preserve">Регистрации на электронной площадке подлежат заявители, ранее не зарегистрированные на электронной площадке или регистрация которых на элек</w:t>
      </w:r>
      <w:r>
        <w:rPr>
          <w:rFonts w:cs="Calibri"/>
          <w:sz w:val="26"/>
          <w:szCs w:val="26"/>
        </w:rPr>
        <w:t xml:space="preserve">тронной площадке, была ими прекращена.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ind w:firstLine="709"/>
        <w:jc w:val="both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 xml:space="preserve">Плата за услуги оператора </w:t>
      </w:r>
      <w:r>
        <w:rPr>
          <w:sz w:val="26"/>
          <w:szCs w:val="26"/>
        </w:rPr>
        <w:t xml:space="preserve">с победителя электронного аукциона или иных лиц с которыми в соответствии с </w:t>
      </w:r>
      <w:hyperlink r:id="rId14" w:tooltip="consultantplus://offline/ref=FC846897312E2BD4721B2384DBE8A58C3C2A4FAB97764E8E4F2A57D7AE78929A029A8F6F69D38F281FBB3293FE6B28B11F6A190F67i3U6J" w:history="1">
        <w:r>
          <w:rPr>
            <w:sz w:val="26"/>
            <w:szCs w:val="26"/>
          </w:rPr>
          <w:t xml:space="preserve">пунктами 13</w:t>
        </w:r>
      </w:hyperlink>
      <w:r>
        <w:rPr>
          <w:sz w:val="26"/>
          <w:szCs w:val="26"/>
        </w:rPr>
        <w:t xml:space="preserve">, </w:t>
      </w:r>
      <w:hyperlink r:id="rId15" w:tooltip="consultantplus://offline/ref=FC846897312E2BD4721B2384DBE8A58C3C2A4FAB97764E8E4F2A57D7AE78929A029A8F6F68DA8F281FBB3293FE6B28B11F6A190F67i3U6J" w:history="1">
        <w:r>
          <w:rPr>
            <w:sz w:val="26"/>
            <w:szCs w:val="26"/>
          </w:rPr>
          <w:t xml:space="preserve">14</w:t>
        </w:r>
      </w:hyperlink>
      <w:r>
        <w:rPr>
          <w:sz w:val="26"/>
          <w:szCs w:val="26"/>
        </w:rPr>
        <w:t xml:space="preserve">, </w:t>
      </w:r>
      <w:hyperlink r:id="rId16" w:tooltip="consultantplus://offline/ref=FC846897312E2BD4721B2384DBE8A58C3C2A4FAB97764E8E4F2A57D7AE78929A029A8F6E61D88F281FBB3293FE6B28B11F6A190F67i3U6J" w:history="1">
        <w:r>
          <w:rPr>
            <w:sz w:val="26"/>
            <w:szCs w:val="26"/>
          </w:rPr>
          <w:t xml:space="preserve">20</w:t>
        </w:r>
      </w:hyperlink>
      <w:r>
        <w:rPr>
          <w:sz w:val="26"/>
          <w:szCs w:val="26"/>
        </w:rPr>
        <w:t xml:space="preserve"> и </w:t>
      </w:r>
      <w:hyperlink r:id="rId17" w:tooltip="consultantplus://offline/ref=FC846897312E2BD4721B2384DBE8A58C3C2A4FAB97764E8E4F2A57D7AE78929A029A8F6861DB867F4CF433CFB83E3BB21F6A1A0F7B362CD9iBU9J" w:history="1">
        <w:r>
          <w:rPr>
            <w:sz w:val="26"/>
            <w:szCs w:val="26"/>
          </w:rPr>
          <w:t xml:space="preserve">25 статьи 39.12</w:t>
        </w:r>
      </w:hyperlink>
      <w:r>
        <w:rPr>
          <w:sz w:val="26"/>
          <w:szCs w:val="26"/>
        </w:rPr>
        <w:t xml:space="preserve"> Земельного Кодекса заключается договор аренды земельного участка, не взимается, в соответствии с тарифами </w:t>
      </w:r>
      <w:r>
        <w:rPr>
          <w:rFonts w:cs="Calibri"/>
          <w:sz w:val="26"/>
          <w:szCs w:val="26"/>
        </w:rPr>
        <w:t xml:space="preserve">АО «Сбербанк-АСТ».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ind w:left="568" w:firstLine="0"/>
        <w:jc w:val="both"/>
        <w:spacing w:line="200" w:lineRule="atLeast"/>
        <w:rPr>
          <w:rFonts w:cs="Calibri"/>
          <w:sz w:val="26"/>
          <w:szCs w:val="26"/>
        </w:rPr>
      </w:pPr>
      <w:r>
        <w:rPr>
          <w:rFonts w:cs="Calibri"/>
          <w:b/>
          <w:bCs/>
          <w:sz w:val="26"/>
          <w:szCs w:val="26"/>
        </w:rPr>
        <w:t xml:space="preserve">7. Требова</w:t>
      </w:r>
      <w:r>
        <w:rPr>
          <w:rFonts w:cs="Calibri"/>
          <w:b/>
          <w:bCs/>
          <w:sz w:val="26"/>
          <w:szCs w:val="26"/>
        </w:rPr>
        <w:t xml:space="preserve">ния к участникам электронного аукциона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pStyle w:val="907"/>
        <w:ind w:left="0" w:firstLine="709"/>
        <w:jc w:val="both"/>
        <w:spacing w:line="200" w:lineRule="atLeast"/>
        <w:rPr>
          <w:rFonts w:cs="Calibri"/>
          <w:sz w:val="26"/>
          <w:szCs w:val="26"/>
        </w:rPr>
      </w:pPr>
      <w:r>
        <w:rPr>
          <w:sz w:val="26"/>
          <w:szCs w:val="26"/>
        </w:rPr>
        <w:t xml:space="preserve">К участию в электронном аукционе допускаются заявители, своевременно подавшие заявку, представившие надлежащим образом оформленные документы, и обеспечившие поступление установленного размера задатка в порядке и сроки, указанные в извещении.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ind w:left="568" w:firstLine="0"/>
        <w:jc w:val="both"/>
        <w:spacing w:line="200" w:lineRule="atLeast"/>
        <w:rPr>
          <w:rFonts w:cs="Calibri"/>
          <w:b/>
          <w:sz w:val="26"/>
          <w:szCs w:val="26"/>
        </w:rPr>
      </w:pPr>
      <w:r>
        <w:rPr>
          <w:b/>
          <w:sz w:val="26"/>
          <w:szCs w:val="26"/>
        </w:rPr>
        <w:t xml:space="preserve">8. Порядок подач</w:t>
      </w:r>
      <w:r>
        <w:rPr>
          <w:b/>
          <w:sz w:val="26"/>
          <w:szCs w:val="26"/>
        </w:rPr>
        <w:t xml:space="preserve">и (приема) и отзыва заявок на участие в электронном аукционе, а также перечень прилагаемых документов: </w:t>
      </w:r>
      <w:r>
        <w:rPr>
          <w:rFonts w:cs="Calibri"/>
          <w:b/>
          <w:sz w:val="26"/>
          <w:szCs w:val="26"/>
        </w:rPr>
      </w:r>
      <w:r>
        <w:rPr>
          <w:rFonts w:cs="Calibri"/>
          <w:b/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Для участия в аукционах заявитель представляет организатору электронного аукциона через </w:t>
      </w:r>
      <w:r>
        <w:rPr>
          <w:rFonts w:cs="Calibri"/>
          <w:b/>
          <w:sz w:val="26"/>
          <w:szCs w:val="26"/>
        </w:rPr>
        <w:t xml:space="preserve">электронную площадку </w:t>
      </w:r>
      <w:r>
        <w:rPr>
          <w:b/>
          <w:bCs/>
          <w:sz w:val="26"/>
          <w:szCs w:val="26"/>
        </w:rPr>
        <w:t xml:space="preserve">АО «Сбербанк-АСТ»</w:t>
      </w:r>
      <w:r>
        <w:rPr>
          <w:bCs/>
          <w:sz w:val="26"/>
          <w:szCs w:val="26"/>
        </w:rPr>
        <w:t xml:space="preserve"> (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18" w:tooltip="http://sberbank-ast.ru" w:history="1">
        <w:r>
          <w:rPr>
            <w:rStyle w:val="889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89"/>
            <w:color w:val="auto"/>
            <w:sz w:val="26"/>
            <w:szCs w:val="26"/>
            <w:u w:val="none"/>
          </w:rPr>
          <w:t xml:space="preserve">-</w:t>
        </w:r>
        <w:r>
          <w:rPr>
            <w:rStyle w:val="889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89"/>
            <w:color w:val="auto"/>
            <w:sz w:val="26"/>
            <w:szCs w:val="26"/>
            <w:u w:val="none"/>
          </w:rPr>
          <w:t xml:space="preserve">.ru</w:t>
        </w:r>
      </w:hyperlink>
      <w:r>
        <w:rPr>
          <w:rStyle w:val="889"/>
          <w:color w:val="auto"/>
          <w:sz w:val="26"/>
          <w:szCs w:val="26"/>
          <w:u w:val="none"/>
        </w:rPr>
        <w:t xml:space="preserve">) </w:t>
      </w:r>
      <w:r>
        <w:rPr>
          <w:sz w:val="26"/>
          <w:szCs w:val="26"/>
        </w:rPr>
        <w:t xml:space="preserve">в установленный в извещении о проведении электронного аукциона срок следующие документы: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1) заявка на участие в электронном </w:t>
      </w:r>
      <w:r>
        <w:rPr>
          <w:sz w:val="26"/>
          <w:szCs w:val="26"/>
        </w:rPr>
        <w:t xml:space="preserve">аукционе с указанием банковских реквизитов счета для возврата задатка заполняется в электронной форме (с приложением предусмотренных извещением документов);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2) копии документов, удостоверяющих личность заявителя (для граждан);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3) надлежащим образом, завере</w:t>
      </w:r>
      <w:r>
        <w:rPr>
          <w:sz w:val="26"/>
          <w:szCs w:val="26"/>
        </w:rPr>
        <w:t xml:space="preserve">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tabs>
          <w:tab w:val="left" w:pos="540" w:leader="none"/>
        </w:tabs>
        <w:rPr>
          <w:bCs/>
          <w:sz w:val="26"/>
          <w:szCs w:val="26"/>
        </w:rPr>
        <w:outlineLvl w:val="0"/>
      </w:pPr>
      <w:r>
        <w:rPr>
          <w:sz w:val="26"/>
          <w:szCs w:val="26"/>
        </w:rPr>
        <w:t xml:space="preserve">4) документы, подтверждающие внесение задат</w:t>
      </w:r>
      <w:r>
        <w:rPr>
          <w:sz w:val="26"/>
          <w:szCs w:val="26"/>
        </w:rPr>
        <w:t xml:space="preserve">ка</w:t>
      </w:r>
      <w:r>
        <w:rPr>
          <w:bCs/>
          <w:sz w:val="26"/>
          <w:szCs w:val="26"/>
        </w:rPr>
        <w:t xml:space="preserve"> (При подаче заявителем заявки в соответствии с Регламентом и Инструкциями электронной площадки, информация о внесении заявителем задатка формируется Оператором электронной площадки и направляется Организатору аукциона).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Представление документов, подтвер</w:t>
      </w:r>
      <w:r>
        <w:rPr>
          <w:sz w:val="26"/>
          <w:szCs w:val="26"/>
        </w:rPr>
        <w:t xml:space="preserve">ждающих внесение задатка, признается заключением соглашения о задатке.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</w:t>
      </w:r>
      <w:r>
        <w:rPr>
          <w:sz w:val="26"/>
          <w:szCs w:val="26"/>
        </w:rPr>
        <w:t xml:space="preserve">ением документов.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9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Один заявитель имеет право подать только одну заявку на участие в электронном аукцион</w:t>
      </w:r>
      <w:r>
        <w:rPr>
          <w:rFonts w:ascii="Times New Roman" w:hAnsi="Times New Roman" w:cs="Times New Roman"/>
          <w:sz w:val="26"/>
          <w:szCs w:val="26"/>
        </w:rPr>
        <w:t xml:space="preserve">е. Заявка подается по каждому лоту отдельно.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line="200" w:lineRule="atLeast"/>
        <w:rPr>
          <w:bCs/>
          <w:sz w:val="26"/>
          <w:szCs w:val="26"/>
        </w:rPr>
      </w:pPr>
      <w:r>
        <w:rPr>
          <w:sz w:val="26"/>
          <w:szCs w:val="26"/>
        </w:rPr>
        <w:t xml:space="preserve">Заявки могут быть поданы на электронную площадку с даты и времени начала подачи (приема) заявок, </w:t>
      </w:r>
      <w:r>
        <w:rPr>
          <w:color w:val="000000"/>
          <w:sz w:val="26"/>
          <w:szCs w:val="26"/>
        </w:rPr>
        <w:t xml:space="preserve">указанных в п. 2 раздела 2 извещения, </w:t>
      </w:r>
      <w:r>
        <w:rPr>
          <w:sz w:val="26"/>
          <w:szCs w:val="26"/>
        </w:rPr>
        <w:t xml:space="preserve">до времени и даты окончания подачи (приема) заявок, </w:t>
      </w:r>
      <w:r>
        <w:rPr>
          <w:color w:val="000000"/>
          <w:sz w:val="26"/>
          <w:szCs w:val="26"/>
        </w:rPr>
        <w:t xml:space="preserve">указанных в п. 3 раздела 2 извещения.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ind w:firstLine="709"/>
        <w:jc w:val="both"/>
        <w:spacing w:line="200" w:lineRule="atLeast"/>
        <w:rPr>
          <w:bCs/>
          <w:sz w:val="26"/>
          <w:szCs w:val="26"/>
        </w:rPr>
      </w:pPr>
      <w:r>
        <w:rPr>
          <w:sz w:val="26"/>
          <w:szCs w:val="26"/>
        </w:rPr>
        <w:t xml:space="preserve">Заявки с прилагаемыми к ним документами, поданные с нарушением установленного срока, на электронной площадке не регистрируются.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ind w:firstLine="709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Заявитель вправе не позднее даты и времени окончания приема заявок, </w:t>
      </w:r>
      <w:r>
        <w:rPr>
          <w:color w:val="000000"/>
          <w:sz w:val="26"/>
          <w:szCs w:val="26"/>
        </w:rPr>
        <w:t xml:space="preserve">указанных в п. 3 разде</w:t>
      </w:r>
      <w:r>
        <w:rPr>
          <w:color w:val="000000"/>
          <w:sz w:val="26"/>
          <w:szCs w:val="26"/>
        </w:rPr>
        <w:t xml:space="preserve">ла 2 извещения,</w:t>
      </w:r>
      <w:r>
        <w:rPr>
          <w:sz w:val="26"/>
          <w:szCs w:val="26"/>
        </w:rPr>
        <w:t xml:space="preserve"> отозвать заявку путем направления уведомления об отзыве заявки на электронную площадку.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91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20"/>
        <w:jc w:val="both"/>
        <w:spacing w:line="200" w:lineRule="atLeast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9. Порядок внесения и возврата задатка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Для участия в аукционе устанавливаются требования о внесении задатка.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В целях исполнения требований о внесении з</w:t>
      </w:r>
      <w:r>
        <w:rPr>
          <w:sz w:val="26"/>
          <w:szCs w:val="26"/>
        </w:rPr>
        <w:t xml:space="preserve">адатка для участия в аукционе заявитель обеспечивает наличие денежных средств на счёте Оператора электронной площадки в размере, не менее суммы задатка, согласно Извещения.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Перечисление денежных средств на счёт Оператора электронной площадки производится п</w:t>
      </w:r>
      <w:r>
        <w:rPr>
          <w:sz w:val="26"/>
          <w:szCs w:val="26"/>
        </w:rPr>
        <w:t xml:space="preserve">о следующим реквизитам: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Получатель: АО «Сбербанк-АСТ»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Наименование банка: ПАО «Сбербанк России» г. Москва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БИК 044525225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Расчетный счет (Казначейский счет)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40702810300020038047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Корреспондентский счет (ЕКС)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30101810400000000225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ИНН 7707308480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 xml:space="preserve">КПП 770401001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spacing w:line="200" w:lineRule="atLeast"/>
        <w:rPr>
          <w:sz w:val="26"/>
          <w:szCs w:val="26"/>
          <w:highlight w:val="white"/>
          <w:shd w:val="clear" w:color="auto" w:fill="ffffff"/>
        </w:rPr>
      </w:pPr>
      <w:r>
        <w:rPr>
          <w:rStyle w:val="914"/>
          <w:color w:val="333333"/>
          <w:sz w:val="26"/>
          <w:szCs w:val="26"/>
          <w:shd w:val="clear" w:color="auto" w:fill="ffffff"/>
        </w:rPr>
        <w:t xml:space="preserve">В назначении платежа необходимо обязательно указать:</w:t>
      </w:r>
      <w:r>
        <w:rPr>
          <w:color w:val="333333"/>
          <w:sz w:val="26"/>
          <w:szCs w:val="26"/>
          <w:shd w:val="clear" w:color="auto" w:fill="ffffff"/>
        </w:rPr>
        <w:t xml:space="preserve"> Перечисление денежных средств в качестве задатка (ИНН </w:t>
      </w:r>
      <w:r>
        <w:rPr>
          <w:sz w:val="26"/>
          <w:szCs w:val="26"/>
          <w:shd w:val="clear" w:color="auto" w:fill="ffffff"/>
        </w:rPr>
        <w:t xml:space="preserve">плательщик</w:t>
      </w:r>
      <w:r>
        <w:rPr>
          <w:sz w:val="26"/>
          <w:szCs w:val="26"/>
          <w:highlight w:val="white"/>
          <w:shd w:val="clear" w:color="auto" w:fill="ffffff"/>
        </w:rPr>
        <w:t xml:space="preserve">а).</w:t>
      </w:r>
      <w:r>
        <w:rPr>
          <w:sz w:val="26"/>
          <w:szCs w:val="26"/>
          <w:highlight w:val="white"/>
          <w:shd w:val="clear" w:color="auto" w:fill="ffffff"/>
        </w:rPr>
      </w:r>
      <w:r>
        <w:rPr>
          <w:sz w:val="26"/>
          <w:szCs w:val="26"/>
          <w:highlight w:val="white"/>
          <w:shd w:val="clear" w:color="auto" w:fill="ffffff"/>
        </w:rPr>
      </w:r>
    </w:p>
    <w:p>
      <w:pPr>
        <w:jc w:val="both"/>
        <w:spacing w:line="200" w:lineRule="atLeast"/>
        <w:rPr>
          <w:b/>
          <w:bCs/>
          <w:sz w:val="26"/>
          <w:szCs w:val="26"/>
          <w:highlight w:val="white"/>
        </w:rPr>
      </w:pPr>
      <w:r>
        <w:rPr>
          <w:sz w:val="26"/>
          <w:szCs w:val="26"/>
          <w:highlight w:val="white"/>
        </w:rPr>
        <w:tab/>
        <w:t xml:space="preserve">Заявитель обеспечивает поступление задатка </w:t>
      </w:r>
      <w:r>
        <w:rPr>
          <w:b/>
          <w:sz w:val="26"/>
          <w:szCs w:val="26"/>
          <w:highlight w:val="white"/>
        </w:rPr>
        <w:t xml:space="preserve">в срок </w:t>
      </w:r>
      <w:r>
        <w:rPr>
          <w:b/>
          <w:bCs/>
          <w:sz w:val="26"/>
          <w:szCs w:val="26"/>
          <w:highlight w:val="white"/>
        </w:rPr>
        <w:t xml:space="preserve">с 1</w:t>
      </w:r>
      <w:r>
        <w:rPr>
          <w:b/>
          <w:bCs/>
          <w:sz w:val="26"/>
          <w:szCs w:val="26"/>
          <w:highlight w:val="white"/>
        </w:rPr>
        <w:t xml:space="preserve">6.09.2026 с 10 час. 00 мин. по 14.10.2026 до 10 час. 00 мин. по ме</w:t>
      </w:r>
      <w:r>
        <w:rPr>
          <w:b/>
          <w:bCs/>
          <w:sz w:val="26"/>
          <w:szCs w:val="26"/>
          <w:highlight w:val="white"/>
        </w:rPr>
        <w:t xml:space="preserve">стному времени.</w:t>
      </w:r>
      <w:r>
        <w:rPr>
          <w:b/>
          <w:bCs/>
          <w:sz w:val="26"/>
          <w:szCs w:val="26"/>
          <w:highlight w:val="white"/>
        </w:rPr>
      </w:r>
      <w:r>
        <w:rPr>
          <w:b/>
          <w:bCs/>
          <w:sz w:val="26"/>
          <w:szCs w:val="26"/>
          <w:highlight w:val="white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bCs/>
          <w:sz w:val="26"/>
          <w:szCs w:val="26"/>
          <w:highlight w:val="white"/>
        </w:rPr>
        <w:tab/>
      </w:r>
      <w:r>
        <w:rPr>
          <w:sz w:val="26"/>
          <w:szCs w:val="26"/>
          <w:highlight w:val="white"/>
        </w:rPr>
        <w:t xml:space="preserve">Плательщиком задатка может быть только заявитель. Не допускается перечисление задатка иными лицами. Перечисленные денежные средств</w:t>
      </w:r>
      <w:r>
        <w:rPr>
          <w:sz w:val="26"/>
          <w:szCs w:val="26"/>
        </w:rPr>
        <w:t xml:space="preserve">а иными лицами, кроме заявителя</w:t>
      </w:r>
      <w:r>
        <w:rPr>
          <w:sz w:val="26"/>
          <w:szCs w:val="26"/>
        </w:rPr>
        <w:t xml:space="preserve">, будут считаться ошибочно перечисленными денежными средствами и возвращены на счет плательщика.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Порядок и сроки внесения и возврата задатка определяется Регламентом оператора электронной площадки и соглашением о внесении гарантийного обеспечения, размеще</w:t>
      </w:r>
      <w:r>
        <w:rPr>
          <w:sz w:val="26"/>
          <w:szCs w:val="26"/>
        </w:rPr>
        <w:t xml:space="preserve">нными по адресу </w:t>
      </w:r>
      <w:r>
        <w:rPr>
          <w:b/>
          <w:sz w:val="26"/>
          <w:szCs w:val="26"/>
          <w:lang w:val="en-US"/>
        </w:rPr>
        <w:t xml:space="preserve">utp</w:t>
      </w:r>
      <w:r>
        <w:rPr>
          <w:b/>
          <w:sz w:val="26"/>
          <w:szCs w:val="26"/>
        </w:rPr>
        <w:t xml:space="preserve">.</w:t>
      </w:r>
      <w:hyperlink r:id="rId19" w:tooltip="http://sberbank-ast.ru" w:history="1">
        <w:r>
          <w:rPr>
            <w:rStyle w:val="889"/>
            <w:b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89"/>
            <w:b/>
            <w:color w:val="auto"/>
            <w:sz w:val="26"/>
            <w:szCs w:val="26"/>
            <w:u w:val="none"/>
          </w:rPr>
          <w:t xml:space="preserve">-</w:t>
        </w:r>
        <w:r>
          <w:rPr>
            <w:rStyle w:val="889"/>
            <w:b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89"/>
            <w:b/>
            <w:color w:val="auto"/>
            <w:sz w:val="26"/>
            <w:szCs w:val="26"/>
            <w:u w:val="none"/>
          </w:rPr>
          <w:t xml:space="preserve">.ru</w:t>
        </w:r>
      </w:hyperlink>
      <w:r>
        <w:rPr>
          <w:sz w:val="26"/>
          <w:szCs w:val="26"/>
        </w:rPr>
        <w:t xml:space="preserve"> (далее – Регламент), а также ЗК РФ.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Операции по перечислению денежных средств на счёт Оператора электронной площадки учитываются на счёте заявителя, откр</w:t>
      </w:r>
      <w:r>
        <w:rPr>
          <w:sz w:val="26"/>
          <w:szCs w:val="26"/>
        </w:rPr>
        <w:t xml:space="preserve">ытом Оператором электронной площадки. Денежные средства в размере, равному задатку согласно Извещения, блокируются Оператором электронной площадки на счете заявителя. Основанием для блокирования денежных средств является заявка, направленная Оператору элек</w:t>
      </w:r>
      <w:r>
        <w:rPr>
          <w:sz w:val="26"/>
          <w:szCs w:val="26"/>
        </w:rPr>
        <w:t xml:space="preserve">тронной площадки. Заблокированные на счете заявителя денежные средства являются задатком. Подача заявки и блокирование задатка является заключением Соглашения о задатке.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Задаток, внесенный лицом, признанным победителем электронного аукциона, задаток, внес</w:t>
      </w:r>
      <w:r>
        <w:rPr>
          <w:sz w:val="26"/>
          <w:szCs w:val="26"/>
        </w:rPr>
        <w:t xml:space="preserve">енный иным лицом (подавшим единственную заявку на участие в электронном аукционе, с заявителем, признанным единственным участником электронном аукциона, либо с единственным принявшим участие в аукционе его участником), с которым заключается договор в соотв</w:t>
      </w:r>
      <w:r>
        <w:rPr>
          <w:sz w:val="26"/>
          <w:szCs w:val="26"/>
        </w:rPr>
        <w:t xml:space="preserve">етствии с положениями ЗК РФ, засчитываются в оплату приобретаемого земельного участка или в счет арендной платы за него.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widowControl w:val="off"/>
        <w:tabs>
          <w:tab w:val="left" w:pos="1346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Прекращение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блокирования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денежных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 xml:space="preserve">средств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на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счете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участника электронного аукциона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37"/>
          <w:sz w:val="26"/>
          <w:szCs w:val="26"/>
        </w:rPr>
        <w:t xml:space="preserve"> </w:t>
      </w:r>
      <w:r>
        <w:rPr>
          <w:sz w:val="26"/>
          <w:szCs w:val="26"/>
        </w:rPr>
        <w:t xml:space="preserve">соответствии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с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 xml:space="preserve">Регламентом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производится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операторо</w:t>
      </w:r>
      <w:r>
        <w:rPr>
          <w:sz w:val="26"/>
          <w:szCs w:val="26"/>
        </w:rPr>
        <w:t xml:space="preserve">м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электронной площадки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следующем порядке: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07"/>
        <w:numPr>
          <w:ilvl w:val="0"/>
          <w:numId w:val="13"/>
        </w:numPr>
        <w:contextualSpacing w:val="0"/>
        <w:ind w:left="0" w:firstLine="567"/>
        <w:jc w:val="both"/>
        <w:widowControl w:val="off"/>
        <w:tabs>
          <w:tab w:val="left" w:pos="124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для заявителя электронного аукциона, отозвавшего заявку до окончания срока приема заявок - в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течение   3 рабочих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дней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со   дня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поступления   уведомления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об   отзыве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заявки</w:t>
      </w:r>
      <w:r>
        <w:rPr>
          <w:spacing w:val="-52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соответствии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с Регламентом;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124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- для </w:t>
      </w:r>
      <w:r>
        <w:rPr>
          <w:sz w:val="26"/>
          <w:szCs w:val="26"/>
        </w:rPr>
        <w:t xml:space="preserve">заявителя, не допущенного к участию в аукционе в электронной форме – в течение 3 рабочих</w:t>
      </w:r>
      <w:r>
        <w:rPr>
          <w:spacing w:val="-7"/>
          <w:sz w:val="26"/>
          <w:szCs w:val="26"/>
        </w:rPr>
        <w:t xml:space="preserve"> </w:t>
      </w:r>
      <w:r>
        <w:rPr>
          <w:sz w:val="26"/>
          <w:szCs w:val="26"/>
        </w:rPr>
        <w:t xml:space="preserve">дней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со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дня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оформления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протокола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рассмотрения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заявок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на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участие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аукционе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электронной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форме</w:t>
      </w:r>
      <w:r>
        <w:rPr>
          <w:spacing w:val="-53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соответствии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с Регламентом;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124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- для участников, участвовавших в аукционе</w:t>
      </w:r>
      <w:r>
        <w:rPr>
          <w:sz w:val="26"/>
          <w:szCs w:val="26"/>
        </w:rPr>
        <w:t xml:space="preserve"> в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 xml:space="preserve">электронной</w:t>
      </w:r>
      <w:r>
        <w:rPr>
          <w:spacing w:val="-7"/>
          <w:sz w:val="26"/>
          <w:szCs w:val="26"/>
        </w:rPr>
        <w:t xml:space="preserve"> </w:t>
      </w:r>
      <w:r>
        <w:rPr>
          <w:sz w:val="26"/>
          <w:szCs w:val="26"/>
        </w:rPr>
        <w:t xml:space="preserve">форме,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но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не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победивших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нем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–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течение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3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рабочих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дней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со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дня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публикации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Протокола</w:t>
      </w:r>
      <w:r>
        <w:rPr>
          <w:spacing w:val="-52"/>
          <w:sz w:val="26"/>
          <w:szCs w:val="26"/>
        </w:rPr>
        <w:t xml:space="preserve">    </w:t>
      </w:r>
      <w:r>
        <w:rPr>
          <w:sz w:val="26"/>
          <w:szCs w:val="26"/>
        </w:rPr>
        <w:t xml:space="preserve">о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результатах аукциона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электронной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форме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соответствии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с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Регламентом.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 исключением участника аукциона, который сделал предпоследнее предложение о цене предмета аукциона. Задаток, внесенный таким участником, возвращается ему в течение трех дней со дня подписания договора договора аренды земельного участка победителем аукцио</w:t>
      </w:r>
      <w:r>
        <w:rPr>
          <w:sz w:val="26"/>
          <w:szCs w:val="26"/>
        </w:rPr>
        <w:t xml:space="preserve">на.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20"/>
        <w:jc w:val="both"/>
        <w:spacing w:line="200" w:lineRule="atLeast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10. Условия допуска к участию в электронном аукционе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0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Заявитель не допускается к участию в аукционе в случае: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 1) непредставление необходимых для участия в электронном аукционе документов или представление недостоверных сведений;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2) непоступление задат</w:t>
      </w:r>
      <w:r>
        <w:rPr>
          <w:sz w:val="26"/>
          <w:szCs w:val="26"/>
        </w:rPr>
        <w:t xml:space="preserve">ка на дату рассмотрения заявок на участие в электронном аукционе;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3) подача заявки на участие в электронном аукционе лицом, которое в соответствии с Земельным Кодексом РФ и другими федеральными законами не имеет права быть участником конкретного электронно</w:t>
      </w:r>
      <w:r>
        <w:rPr>
          <w:sz w:val="26"/>
          <w:szCs w:val="26"/>
        </w:rPr>
        <w:t xml:space="preserve">го аукциона, покупателем земельного участка или приобрести земельный участок в аренду;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</w:t>
      </w:r>
      <w:r>
        <w:rPr>
          <w:sz w:val="26"/>
          <w:szCs w:val="26"/>
        </w:rPr>
        <w:t xml:space="preserve">ьного органа заявителя, являющегося юридическим лицом, в предусмотренном в предусмотренном статьей 39.12 Земельного кодекса Российской Федерации, реестре недобросовестных участников аукциона.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08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11. Порядок определения участников </w:t>
      </w:r>
      <w:r>
        <w:rPr>
          <w:b/>
          <w:sz w:val="26"/>
          <w:szCs w:val="26"/>
        </w:rPr>
        <w:t xml:space="preserve">электронного</w:t>
      </w:r>
      <w:r>
        <w:rPr>
          <w:b/>
          <w:bCs/>
          <w:sz w:val="26"/>
          <w:szCs w:val="26"/>
        </w:rPr>
        <w:t xml:space="preserve"> аукциона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pStyle w:val="880"/>
        <w:ind w:firstLine="709"/>
        <w:jc w:val="both"/>
        <w:tabs>
          <w:tab w:val="left" w:pos="4032" w:leader="none"/>
        </w:tabs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Решение о признании претендентов участниками аукциона принимается в соответствии с протоколом рассмотрения заявок  на участие в электронном аукционе </w:t>
      </w:r>
      <w:r>
        <w:rPr>
          <w:color w:val="000000"/>
          <w:sz w:val="26"/>
          <w:szCs w:val="26"/>
        </w:rPr>
        <w:t xml:space="preserve">на сайте 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20" w:tooltip="http://sberbank-ast.ru" w:history="1">
        <w:r>
          <w:rPr>
            <w:rStyle w:val="889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89"/>
            <w:color w:val="auto"/>
            <w:sz w:val="26"/>
            <w:szCs w:val="26"/>
            <w:u w:val="none"/>
          </w:rPr>
          <w:t xml:space="preserve">-</w:t>
        </w:r>
        <w:r>
          <w:rPr>
            <w:rStyle w:val="889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89"/>
            <w:color w:val="auto"/>
            <w:sz w:val="26"/>
            <w:szCs w:val="26"/>
            <w:u w:val="none"/>
          </w:rPr>
          <w:t xml:space="preserve">.ru</w:t>
        </w:r>
      </w:hyperlink>
      <w:r>
        <w:rPr>
          <w:color w:val="000000"/>
          <w:sz w:val="26"/>
          <w:szCs w:val="26"/>
        </w:rPr>
        <w:t xml:space="preserve">.</w:t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91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Протокол р</w:t>
      </w:r>
      <w:r>
        <w:rPr>
          <w:rFonts w:ascii="Times New Roman" w:hAnsi="Times New Roman" w:cs="Times New Roman"/>
          <w:sz w:val="26"/>
          <w:szCs w:val="26"/>
        </w:rPr>
        <w:t xml:space="preserve">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аукциона. Сведения о коли</w:t>
      </w:r>
      <w:r>
        <w:rPr>
          <w:rFonts w:ascii="Times New Roman" w:hAnsi="Times New Roman" w:cs="Times New Roman"/>
          <w:sz w:val="26"/>
          <w:szCs w:val="26"/>
        </w:rPr>
        <w:t xml:space="preserve">честве участников аукциона без указания иных сведений о таких участниках и сведения о заявителях, не допущенных к участию в аукционе, с указанием причин отказа в допуске к участию в нем размещаются на официальном сайте не позднее чем на следующий день посл</w:t>
      </w:r>
      <w:r>
        <w:rPr>
          <w:rFonts w:ascii="Times New Roman" w:hAnsi="Times New Roman" w:cs="Times New Roman"/>
          <w:sz w:val="26"/>
          <w:szCs w:val="26"/>
        </w:rPr>
        <w:t xml:space="preserve">е дня подписания протокола рассмотрения заявок.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80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Заявителям, признанным участниками электронно</w:t>
      </w:r>
      <w:r>
        <w:rPr>
          <w:sz w:val="26"/>
          <w:szCs w:val="26"/>
        </w:rPr>
        <w:t xml:space="preserve">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рассмотрения за</w:t>
      </w:r>
      <w:r>
        <w:rPr>
          <w:sz w:val="26"/>
          <w:szCs w:val="26"/>
        </w:rPr>
        <w:t xml:space="preserve">явок.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0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spacing w:line="200" w:lineRule="atLeast"/>
        <w:rPr>
          <w:b/>
          <w:bCs/>
          <w:sz w:val="26"/>
          <w:szCs w:val="26"/>
        </w:rPr>
      </w:pPr>
      <w:r>
        <w:rPr>
          <w:b/>
          <w:sz w:val="26"/>
          <w:szCs w:val="26"/>
        </w:rPr>
        <w:t xml:space="preserve">12.</w:t>
      </w:r>
      <w:r>
        <w:rPr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Порядок проведения </w:t>
      </w:r>
      <w:r>
        <w:rPr>
          <w:b/>
          <w:sz w:val="26"/>
          <w:szCs w:val="26"/>
        </w:rPr>
        <w:t xml:space="preserve">электронного</w:t>
      </w:r>
      <w:r>
        <w:rPr>
          <w:b/>
          <w:bCs/>
          <w:sz w:val="26"/>
          <w:szCs w:val="26"/>
        </w:rPr>
        <w:t xml:space="preserve"> аукциона: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08"/>
        <w:jc w:val="both"/>
        <w:rPr>
          <w:rFonts w:cs="Calibri"/>
          <w:sz w:val="26"/>
          <w:szCs w:val="26"/>
        </w:rPr>
      </w:pPr>
      <w:r>
        <w:rPr>
          <w:sz w:val="26"/>
          <w:szCs w:val="26"/>
        </w:rPr>
        <w:t xml:space="preserve">Электронный</w:t>
      </w:r>
      <w:r>
        <w:rPr>
          <w:rFonts w:cs="Calibri"/>
          <w:sz w:val="26"/>
          <w:szCs w:val="26"/>
        </w:rPr>
        <w:t xml:space="preserve"> аукцион проводится на электронной площадке в день и время, указанные в извещении.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pStyle w:val="880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Электронный аукцион проводится при наличии не менее двух участников.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Начальной ценой предмета электронного а</w:t>
      </w:r>
      <w:r>
        <w:rPr>
          <w:sz w:val="26"/>
          <w:szCs w:val="26"/>
        </w:rPr>
        <w:t xml:space="preserve">укциона </w:t>
      </w:r>
      <w:r>
        <w:rPr>
          <w:bCs/>
          <w:sz w:val="26"/>
          <w:szCs w:val="26"/>
        </w:rPr>
        <w:t xml:space="preserve">земельного участка является по выбору уполномоченного органа рыночная стоимость такого земельного участка, определенная в соответствии с Федеральным </w:t>
      </w:r>
      <w:hyperlink r:id="rId21" w:tooltip="consultantplus://offline/ref=ACBC04675D45A7319E4896355D993A4826746042F3CB2CBB1E8429029F34B456AD46430754CDA9B6A2FD79FD81QEfFJ" w:history="1">
        <w:r>
          <w:rPr>
            <w:bCs/>
            <w:sz w:val="26"/>
            <w:szCs w:val="26"/>
          </w:rPr>
          <w:t xml:space="preserve">законом</w:t>
        </w:r>
      </w:hyperlink>
      <w:r>
        <w:rPr>
          <w:bCs/>
          <w:sz w:val="26"/>
          <w:szCs w:val="26"/>
        </w:rPr>
        <w:t xml:space="preserve"> от 29 июля 1998 года N 135-ФЗ "Об оценочной деятельности в Российской Федера</w:t>
      </w:r>
      <w:r>
        <w:rPr>
          <w:bCs/>
          <w:sz w:val="26"/>
          <w:szCs w:val="26"/>
        </w:rPr>
        <w:t xml:space="preserve">ции" (далее - Федеральный закон "Об оценочной деятельности в Российской Федерации"), или кадастровая стоимость такого земельного участка, если результаты государственной кадастровой оценки утверждены не ранее чем за пять лет до даты принятия решения о пров</w:t>
      </w:r>
      <w:r>
        <w:rPr>
          <w:bCs/>
          <w:sz w:val="26"/>
          <w:szCs w:val="26"/>
        </w:rPr>
        <w:t xml:space="preserve">едении аукциона.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pStyle w:val="880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В ходе проведения электронного аукциона участники аукциона подают предложения о цене предмета аукциона в соответствии со следующими требованиями: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предложение о цене предмета электронного </w:t>
      </w:r>
      <w:r>
        <w:rPr>
          <w:sz w:val="26"/>
          <w:szCs w:val="26"/>
        </w:rPr>
        <w:t xml:space="preserve">аукциона увеличивает текущее максимальное предложение о цене предмета аукциона на величину "шага аукциона";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участник электронного </w:t>
      </w:r>
      <w:r>
        <w:rPr>
          <w:sz w:val="26"/>
          <w:szCs w:val="26"/>
        </w:rPr>
        <w:t xml:space="preserve">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0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Электронный аукцион проводится на электронной площадке ее оператором, функционирующих </w:t>
      </w:r>
      <w:r>
        <w:rPr>
          <w:sz w:val="26"/>
          <w:szCs w:val="26"/>
        </w:rPr>
        <w:t xml:space="preserve">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 xml:space="preserve">Предложение о цене предмета </w:t>
      </w:r>
      <w:r>
        <w:rPr>
          <w:sz w:val="26"/>
          <w:szCs w:val="26"/>
        </w:rPr>
        <w:t xml:space="preserve">электронного</w:t>
      </w:r>
      <w:r>
        <w:rPr>
          <w:rFonts w:cs="Calibri"/>
          <w:sz w:val="26"/>
          <w:szCs w:val="26"/>
        </w:rPr>
        <w:t xml:space="preserve"> аукциона признается подписанное ЭП участника.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pStyle w:val="880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аукциона о повышении цены предмета аукциона время, оставшееся до истечения указанного срока, об</w:t>
      </w:r>
      <w:r>
        <w:rPr>
          <w:sz w:val="26"/>
          <w:szCs w:val="26"/>
        </w:rPr>
        <w:t xml:space="preserve">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0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spacing w:line="200" w:lineRule="atLeast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13. </w:t>
      </w:r>
      <w:r>
        <w:rPr>
          <w:b/>
          <w:bCs/>
          <w:sz w:val="26"/>
          <w:szCs w:val="26"/>
        </w:rPr>
        <w:t xml:space="preserve">Подведение итогов процедуры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pStyle w:val="880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Выигравшим торги на электронном аукционе признается ли</w:t>
      </w:r>
      <w:r>
        <w:rPr>
          <w:sz w:val="26"/>
          <w:szCs w:val="26"/>
        </w:rPr>
        <w:t xml:space="preserve">цо, предложившее наиболее высокую цену.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0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</w:t>
      </w:r>
      <w:r>
        <w:rPr>
          <w:sz w:val="26"/>
          <w:szCs w:val="26"/>
        </w:rPr>
        <w:t xml:space="preserve">электронного аукциона.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аукциона, подписание данного протокола усиленной квалифицированной </w:t>
      </w:r>
      <w:r>
        <w:rPr>
          <w:sz w:val="26"/>
          <w:szCs w:val="26"/>
        </w:rPr>
        <w:t xml:space="preserve">электронной подписью лицом, уполномоченным действовать от имени организатора аукциона, и его размещение в течение одного рабочего дня со дня подписания данного протокола на электронной площадке. Протокол о результатах электронного аукциона после его размещ</w:t>
      </w:r>
      <w:r>
        <w:rPr>
          <w:sz w:val="26"/>
          <w:szCs w:val="26"/>
        </w:rPr>
        <w:t xml:space="preserve">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Информация о результатах электронного аукциона публикуется на официальных сайтах в сети «Интернет»</w:t>
      </w:r>
      <w:r>
        <w:rPr>
          <w:b/>
          <w:sz w:val="26"/>
          <w:szCs w:val="26"/>
        </w:rPr>
        <w:t xml:space="preserve">  </w:t>
      </w:r>
      <w:r>
        <w:rPr>
          <w:bCs/>
          <w:sz w:val="26"/>
          <w:szCs w:val="26"/>
        </w:rPr>
        <w:t xml:space="preserve">www.torgi.gov. </w:t>
      </w:r>
      <w:r>
        <w:rPr>
          <w:bCs/>
          <w:sz w:val="26"/>
          <w:szCs w:val="26"/>
          <w:lang w:val="en-US"/>
        </w:rPr>
        <w:t xml:space="preserve">r</w:t>
      </w:r>
      <w:r>
        <w:rPr>
          <w:bCs/>
          <w:sz w:val="26"/>
          <w:szCs w:val="26"/>
        </w:rPr>
        <w:t xml:space="preserve">u (ГИ</w:t>
      </w:r>
      <w:r>
        <w:rPr>
          <w:bCs/>
          <w:sz w:val="26"/>
          <w:szCs w:val="26"/>
        </w:rPr>
        <w:t xml:space="preserve">С Торги),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22" w:tooltip="http://sberbank-ast.ru" w:history="1">
        <w:r>
          <w:rPr>
            <w:rStyle w:val="889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89"/>
            <w:color w:val="auto"/>
            <w:sz w:val="26"/>
            <w:szCs w:val="26"/>
            <w:u w:val="none"/>
          </w:rPr>
          <w:t xml:space="preserve">-</w:t>
        </w:r>
        <w:r>
          <w:rPr>
            <w:rStyle w:val="889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89"/>
            <w:color w:val="auto"/>
            <w:sz w:val="26"/>
            <w:szCs w:val="26"/>
            <w:u w:val="none"/>
          </w:rPr>
          <w:t xml:space="preserve">.</w:t>
        </w:r>
        <w:r>
          <w:rPr>
            <w:rStyle w:val="889"/>
            <w:color w:val="auto"/>
            <w:sz w:val="26"/>
            <w:szCs w:val="26"/>
            <w:u w:val="none"/>
            <w:lang w:val="en-US"/>
          </w:rPr>
          <w:t xml:space="preserve">ru</w:t>
        </w:r>
      </w:hyperlink>
      <w:r>
        <w:rPr>
          <w:rStyle w:val="889"/>
          <w:color w:val="auto"/>
          <w:sz w:val="26"/>
          <w:szCs w:val="26"/>
          <w:u w:val="none"/>
        </w:rPr>
        <w:t xml:space="preserve"> (</w:t>
      </w:r>
      <w:r>
        <w:rPr>
          <w:bCs/>
          <w:sz w:val="26"/>
          <w:szCs w:val="26"/>
        </w:rPr>
        <w:t xml:space="preserve">АО «Сбербанк-АСТ»)</w:t>
      </w:r>
      <w:r>
        <w:rPr>
          <w:rStyle w:val="889"/>
          <w:color w:val="auto"/>
          <w:sz w:val="26"/>
          <w:szCs w:val="26"/>
          <w:u w:val="none"/>
        </w:rPr>
        <w:t xml:space="preserve">,</w:t>
      </w:r>
      <w:r>
        <w:rPr>
          <w:sz w:val="26"/>
          <w:szCs w:val="26"/>
        </w:rPr>
        <w:t xml:space="preserve"> на </w:t>
      </w:r>
      <w:r>
        <w:rPr>
          <w:bCs/>
          <w:sz w:val="26"/>
          <w:szCs w:val="26"/>
        </w:rPr>
        <w:t xml:space="preserve">официальном сайте </w:t>
      </w:r>
      <w:r>
        <w:rPr>
          <w:sz w:val="26"/>
          <w:szCs w:val="26"/>
        </w:rPr>
        <w:t xml:space="preserve">уполномоченного органа</w:t>
      </w:r>
      <w:r>
        <w:rPr>
          <w:bCs/>
          <w:sz w:val="26"/>
          <w:szCs w:val="26"/>
        </w:rPr>
        <w:t xml:space="preserve"> </w:t>
      </w:r>
      <w:hyperlink r:id="rId23" w:tooltip="http://www.mio.irkobl.ru" w:history="1">
        <w:r>
          <w:rPr>
            <w:bCs/>
            <w:sz w:val="26"/>
            <w:szCs w:val="26"/>
          </w:rPr>
          <w:t xml:space="preserve">www.mio.irkobl.</w:t>
        </w:r>
        <w:r>
          <w:rPr>
            <w:bCs/>
            <w:sz w:val="26"/>
            <w:szCs w:val="26"/>
            <w:lang w:val="en-US"/>
          </w:rPr>
          <w:t xml:space="preserve">r</w:t>
        </w:r>
        <w:r>
          <w:rPr>
            <w:bCs/>
            <w:sz w:val="26"/>
            <w:szCs w:val="26"/>
          </w:rPr>
          <w:t xml:space="preserve">u</w:t>
        </w:r>
      </w:hyperlink>
      <w:r>
        <w:rPr>
          <w:bCs/>
          <w:sz w:val="26"/>
          <w:szCs w:val="26"/>
        </w:rPr>
        <w:t xml:space="preserve">  и </w:t>
      </w:r>
      <w:r>
        <w:rPr>
          <w:sz w:val="26"/>
          <w:szCs w:val="26"/>
        </w:rPr>
        <w:t xml:space="preserve"> с</w:t>
      </w:r>
      <w:r>
        <w:rPr>
          <w:sz w:val="26"/>
          <w:szCs w:val="26"/>
        </w:rPr>
        <w:t xml:space="preserve">айте </w:t>
      </w:r>
      <w:r>
        <w:rPr>
          <w:bCs/>
          <w:sz w:val="26"/>
          <w:szCs w:val="26"/>
        </w:rPr>
        <w:t xml:space="preserve">организатора аукциона www.irkfi. ru</w:t>
      </w:r>
      <w:r>
        <w:rPr>
          <w:sz w:val="26"/>
          <w:szCs w:val="26"/>
          <w:u w:val="single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0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2"/>
        <w:ind w:firstLine="709"/>
        <w:spacing w:after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14.</w:t>
      </w:r>
      <w:r>
        <w:rPr>
          <w:b/>
          <w:bCs/>
          <w:color w:val="ff0000"/>
          <w:sz w:val="26"/>
          <w:szCs w:val="26"/>
        </w:rPr>
        <w:t xml:space="preserve"> </w:t>
      </w:r>
      <w:r>
        <w:rPr>
          <w:b/>
          <w:bCs/>
          <w:sz w:val="26"/>
          <w:szCs w:val="26"/>
        </w:rPr>
        <w:t xml:space="preserve">Заключение договора аренды земельного участка по результатам </w:t>
      </w:r>
      <w:r>
        <w:rPr>
          <w:b/>
          <w:sz w:val="26"/>
          <w:szCs w:val="26"/>
        </w:rPr>
        <w:t xml:space="preserve">электронного</w:t>
      </w:r>
      <w:r>
        <w:rPr>
          <w:b/>
          <w:bCs/>
          <w:sz w:val="26"/>
          <w:szCs w:val="26"/>
        </w:rPr>
        <w:t xml:space="preserve"> аукциона.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pStyle w:val="882"/>
        <w:ind w:firstLine="708"/>
        <w:spacing w:after="0" w:line="200" w:lineRule="atLeast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 xml:space="preserve">Заключение договора аренды земельного участка с победителем по результатам</w:t>
      </w:r>
      <w:r>
        <w:rPr>
          <w:sz w:val="26"/>
          <w:szCs w:val="26"/>
        </w:rPr>
        <w:t xml:space="preserve"> электронного</w:t>
      </w:r>
      <w:r>
        <w:rPr>
          <w:bCs/>
          <w:iCs/>
          <w:sz w:val="26"/>
          <w:szCs w:val="26"/>
        </w:rPr>
        <w:t xml:space="preserve"> аукциона</w:t>
      </w:r>
      <w:r>
        <w:rPr>
          <w:bCs/>
          <w:iCs/>
          <w:sz w:val="26"/>
          <w:szCs w:val="26"/>
        </w:rPr>
        <w:t xml:space="preserve"> осуществляется в установленном законодательством Российской Федерации порядке.</w:t>
      </w:r>
      <w:r>
        <w:rPr>
          <w:bCs/>
          <w:iCs/>
          <w:sz w:val="26"/>
          <w:szCs w:val="26"/>
        </w:rPr>
      </w:r>
      <w:r>
        <w:rPr>
          <w:bCs/>
          <w:iCs/>
          <w:sz w:val="26"/>
          <w:szCs w:val="26"/>
        </w:rPr>
      </w:r>
    </w:p>
    <w:p>
      <w:pPr>
        <w:pStyle w:val="880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По результатам проведения электронного аукциона договор аренды земельного участка, находящегося в государственной собственности Иркутской области, заключается в электронной фор</w:t>
      </w:r>
      <w:r>
        <w:rPr>
          <w:sz w:val="26"/>
          <w:szCs w:val="26"/>
        </w:rPr>
        <w:t xml:space="preserve">ме и подписывается усиленной квалифицированной электронной подписью сторон такого договора.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Победитель электронного аукциона обязан заключить договор аренды земельного участка с министерством имущественных отношений Иркутской области не ранее 10 дней со дн</w:t>
      </w:r>
      <w:r>
        <w:rPr>
          <w:sz w:val="26"/>
          <w:szCs w:val="26"/>
        </w:rPr>
        <w:t xml:space="preserve">я размещения информации о результатах аукциона на официальном сайте торгов РФ протокола о результатах электронного аукциона, не позднее 10 рабочих дней со дня со дня направления победителю аукциона проекта договора.  Осуществить государственную регистрацию</w:t>
      </w:r>
      <w:r>
        <w:rPr>
          <w:sz w:val="26"/>
          <w:szCs w:val="26"/>
        </w:rPr>
        <w:t xml:space="preserve"> перехода права собственности на земельный участок или договора аренды земельного участка в порядке, установленном законодательством Российской Федерации.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Уполномоченный орган обязан в течение пяти дней со дня истечения срока, предусмотренного </w:t>
      </w:r>
      <w:hyperlink w:tooltip="#Par30" w:anchor="Par30" w:history="1">
        <w:r>
          <w:rPr>
            <w:sz w:val="26"/>
            <w:szCs w:val="26"/>
          </w:rPr>
          <w:t xml:space="preserve">пунктом 11</w:t>
        </w:r>
      </w:hyperlink>
      <w:r>
        <w:rPr>
          <w:sz w:val="26"/>
          <w:szCs w:val="26"/>
        </w:rPr>
        <w:t xml:space="preserve"> ст.39.13 Земельного кодекса Российской Федерации настоящей статьи, направить победителю электронного аукциона или иным лицам, с которыми в соответствии с </w:t>
      </w:r>
      <w:hyperlink r:id="rId24" w:tooltip="consultantplus://offline/ref=FC846897312E2BD4721B2384DBE8A58C3C2A4FAB97764E8E4F2A57D7AE78929A029A8F6F69D38F281FBB3293FE6B28B11F6A190F67i3U6J" w:history="1">
        <w:r>
          <w:rPr>
            <w:sz w:val="26"/>
            <w:szCs w:val="26"/>
          </w:rPr>
          <w:t xml:space="preserve">пунктами 13</w:t>
        </w:r>
      </w:hyperlink>
      <w:r>
        <w:rPr>
          <w:sz w:val="26"/>
          <w:szCs w:val="26"/>
        </w:rPr>
        <w:t xml:space="preserve">, </w:t>
      </w:r>
      <w:hyperlink r:id="rId25" w:tooltip="consultantplus://offline/ref=FC846897312E2BD4721B2384DBE8A58C3C2A4FAB97764E8E4F2A57D7AE78929A029A8F6F68DA8F281FBB3293FE6B28B11F6A190F67i3U6J" w:history="1">
        <w:r>
          <w:rPr>
            <w:sz w:val="26"/>
            <w:szCs w:val="26"/>
          </w:rPr>
          <w:t xml:space="preserve">14</w:t>
        </w:r>
      </w:hyperlink>
      <w:r>
        <w:rPr>
          <w:sz w:val="26"/>
          <w:szCs w:val="26"/>
        </w:rPr>
        <w:t xml:space="preserve">, </w:t>
      </w:r>
      <w:hyperlink r:id="rId26" w:tooltip="consultantplus://offline/ref=FC846897312E2BD4721B2384DBE8A58C3C2A4FAB97764E8E4F2A57D7AE78929A029A8F6E61D88F281FBB3293FE6B28B11F6A190F67i3U6J" w:history="1">
        <w:r>
          <w:rPr>
            <w:sz w:val="26"/>
            <w:szCs w:val="26"/>
          </w:rPr>
          <w:t xml:space="preserve">20</w:t>
        </w:r>
      </w:hyperlink>
      <w:r>
        <w:rPr>
          <w:sz w:val="26"/>
          <w:szCs w:val="26"/>
        </w:rPr>
        <w:t xml:space="preserve"> и </w:t>
      </w:r>
      <w:hyperlink r:id="rId27" w:tooltip="consultantplus://offline/ref=FC846897312E2BD4721B2384DBE8A58C3C2A4FAB97764E8E4F2A57D7AE78929A029A8F6861DB867F4CF433CFB83E3BB21F6A1A0F7B362CD9iBU9J" w:history="1">
        <w:r>
          <w:rPr>
            <w:sz w:val="26"/>
            <w:szCs w:val="26"/>
          </w:rPr>
          <w:t xml:space="preserve">25 статьи 39.12</w:t>
        </w:r>
      </w:hyperlink>
      <w:r>
        <w:rPr>
          <w:sz w:val="26"/>
          <w:szCs w:val="26"/>
        </w:rPr>
        <w:t xml:space="preserve"> Земельного кодекса Российской Федерации заключается договор купли-продажи земельного</w:t>
      </w:r>
      <w:r>
        <w:rPr>
          <w:sz w:val="26"/>
          <w:szCs w:val="26"/>
        </w:rPr>
        <w:t xml:space="preserve"> участка, находящегося в государственной или муниципальной собственности, либо договор аренды такого участка, подписанный проект договора купли-продажи земельного участка, находящегося в государственной или муниципальной собственности, либо подписанный про</w:t>
      </w:r>
      <w:r>
        <w:rPr>
          <w:sz w:val="26"/>
          <w:szCs w:val="26"/>
        </w:rPr>
        <w:t xml:space="preserve">ект договора аренды такого участка.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91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Если договор купли-продажи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</w:t>
      </w:r>
      <w:r>
        <w:rPr>
          <w:rFonts w:ascii="Times New Roman" w:hAnsi="Times New Roman" w:cs="Times New Roman"/>
          <w:sz w:val="26"/>
          <w:szCs w:val="26"/>
        </w:rPr>
        <w:t xml:space="preserve">н, уполномоченный орган направляет указанные договоры участнику аукциона, который сделал предпоследнее предложение о цене предмета аукциона, для их заключения по цене, предложенной таким участником аукциона.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91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случае, если в течение десяти рабочих дней со </w:t>
      </w:r>
      <w:r>
        <w:rPr>
          <w:rFonts w:ascii="Times New Roman" w:hAnsi="Times New Roman" w:cs="Times New Roman"/>
          <w:sz w:val="26"/>
          <w:szCs w:val="26"/>
        </w:rPr>
        <w:t xml:space="preserve">дня направления участнику аукциона, который сделал предпоследнее предложение о цене предмета аукциона, проекта договора купли-продажи или проекта договора аренды земельного участка этот участник не представил в уполномоченный орган подписанные им договоры,</w:t>
      </w:r>
      <w:r>
        <w:rPr>
          <w:rFonts w:ascii="Times New Roman" w:hAnsi="Times New Roman" w:cs="Times New Roman"/>
          <w:sz w:val="26"/>
          <w:szCs w:val="26"/>
        </w:rPr>
        <w:t xml:space="preserve"> уполномоченный орган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91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Задаток, внесенный лицом, признанным победителем аукциона, задаток, внесенный</w:t>
      </w:r>
      <w:r>
        <w:rPr>
          <w:rFonts w:ascii="Times New Roman" w:hAnsi="Times New Roman" w:cs="Times New Roman"/>
          <w:sz w:val="26"/>
          <w:szCs w:val="26"/>
        </w:rPr>
        <w:t xml:space="preserve"> иным лицом, с которым договор купли-продажи или договор аренды земельного участка заключается в соответствии с </w:t>
      </w:r>
      <w:hyperlink w:tooltip="13. В случае, если аукцион признан несостоявшимся и только один заявитель признан участником аукциона, уполномоченный орган в течение десяти дней со дня подписания протокола, указанного в пункте 9 настоящей статьи, обязан направить заявителю два экземпляра под" w:anchor="P1349" w:history="1">
        <w:r>
          <w:rPr>
            <w:rFonts w:ascii="Times New Roman" w:hAnsi="Times New Roman" w:cs="Times New Roman"/>
            <w:sz w:val="26"/>
            <w:szCs w:val="26"/>
          </w:rPr>
          <w:t xml:space="preserve">пунктом 13</w:t>
        </w:r>
      </w:hyperlink>
      <w:r>
        <w:rPr>
          <w:rFonts w:ascii="Times New Roman" w:hAnsi="Times New Roman" w:cs="Times New Roman"/>
          <w:sz w:val="26"/>
          <w:szCs w:val="26"/>
        </w:rPr>
        <w:t xml:space="preserve">, </w:t>
      </w:r>
      <w:hyperlink w:tooltip="14. Если единственная заявка на участие в аукционе соответствует указанным в извещении о проведении аукциона условиям и лицо, подавшее указанную заявку, соответствуют требованиям к участникам аукциона, указанным в извещении о проведении аукциона, уполномоченны" w:anchor="P1353" w:history="1">
        <w:r>
          <w:rPr>
            <w:rFonts w:ascii="Times New Roman" w:hAnsi="Times New Roman" w:cs="Times New Roman"/>
            <w:sz w:val="26"/>
            <w:szCs w:val="26"/>
          </w:rPr>
          <w:t xml:space="preserve">14</w:t>
        </w:r>
      </w:hyperlink>
      <w:r>
        <w:rPr>
          <w:rFonts w:ascii="Times New Roman" w:hAnsi="Times New Roman" w:cs="Times New Roman"/>
          <w:sz w:val="26"/>
          <w:szCs w:val="26"/>
        </w:rPr>
        <w:t xml:space="preserve">, </w:t>
      </w:r>
      <w:hyperlink w:tooltip="20. Уполномоченный орган направляет победителю аукциона или единственному принявшему участие в аукционе его участнику два экземпляра подписанного проекта договора купли-продажи или проекта договора аренды земельного участка в пятидневный срок со дня составлени" w:anchor="P1381" w:history="1">
        <w:r>
          <w:rPr>
            <w:rFonts w:ascii="Times New Roman" w:hAnsi="Times New Roman" w:cs="Times New Roman"/>
            <w:sz w:val="26"/>
            <w:szCs w:val="26"/>
          </w:rPr>
          <w:t xml:space="preserve">20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или </w:t>
      </w:r>
      <w:hyperlink w:tooltip="25. Если договор купли-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н, уполномоченный орган направляет у" w:anchor="P1394" w:history="1">
        <w:r>
          <w:rPr>
            <w:rFonts w:ascii="Times New Roman" w:hAnsi="Times New Roman" w:cs="Times New Roman"/>
            <w:sz w:val="26"/>
            <w:szCs w:val="26"/>
          </w:rPr>
          <w:t xml:space="preserve">25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статьи 39.12 Земельного кодекса Российской Федерации, засчитываются в оплату приобретаемого земельного участка или в счет арендной платы за него. Задатки, внесенные этими лицами, не заключившими в установленном настоящей статьей поряд</w:t>
      </w:r>
      <w:r>
        <w:rPr>
          <w:rFonts w:ascii="Times New Roman" w:hAnsi="Times New Roman" w:cs="Times New Roman"/>
          <w:sz w:val="26"/>
          <w:szCs w:val="26"/>
        </w:rPr>
        <w:t xml:space="preserve">ке договора купли-продажи или договора аренды земельного участка вследствие уклонения от заключения указанных договоров, не возвращаются.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82"/>
        <w:ind w:firstLine="708"/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Сведения о победителях электронного аукциона, уклонившихся от заключения договора аренды </w:t>
      </w:r>
      <w:r>
        <w:rPr>
          <w:sz w:val="26"/>
          <w:szCs w:val="26"/>
        </w:rPr>
        <w:t xml:space="preserve">земельного участка, являющегося предметом аукциона, и об иных лицах, с которыми указанный договор заключается в соответствии с пунктом 13, 14, 20 или 25 статьи 39.12 Земельного кодекса Российской Федерации и которые уклонились от их заключения, включаются </w:t>
      </w:r>
      <w:r>
        <w:rPr>
          <w:sz w:val="26"/>
          <w:szCs w:val="26"/>
        </w:rPr>
        <w:t xml:space="preserve">в реестр недобросовестных участников аукционов.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2"/>
        <w:ind w:firstLine="720"/>
        <w:spacing w:after="0"/>
        <w:rPr>
          <w:bCs/>
          <w:iCs/>
          <w:color w:val="ff0000"/>
          <w:sz w:val="26"/>
          <w:szCs w:val="26"/>
        </w:rPr>
      </w:pPr>
      <w:r>
        <w:rPr>
          <w:b/>
          <w:bCs/>
          <w:iCs/>
          <w:sz w:val="26"/>
          <w:szCs w:val="26"/>
        </w:rPr>
        <w:t xml:space="preserve">15. Заключительные положения</w:t>
      </w:r>
      <w:r>
        <w:rPr>
          <w:bCs/>
          <w:iCs/>
          <w:color w:val="ff0000"/>
          <w:sz w:val="26"/>
          <w:szCs w:val="26"/>
        </w:rPr>
      </w:r>
      <w:r>
        <w:rPr>
          <w:bCs/>
          <w:iCs/>
          <w:color w:val="ff0000"/>
          <w:sz w:val="26"/>
          <w:szCs w:val="26"/>
        </w:rPr>
      </w:r>
    </w:p>
    <w:p>
      <w:pPr>
        <w:pStyle w:val="882"/>
        <w:spacing w:after="0"/>
        <w:rPr>
          <w:sz w:val="26"/>
          <w:szCs w:val="26"/>
        </w:rPr>
      </w:pPr>
      <w:r>
        <w:rPr>
          <w:bCs/>
          <w:iCs/>
          <w:color w:val="ff0000"/>
          <w:sz w:val="26"/>
          <w:szCs w:val="26"/>
        </w:rPr>
        <w:tab/>
      </w:r>
      <w:r>
        <w:rPr>
          <w:iCs/>
          <w:sz w:val="26"/>
          <w:szCs w:val="26"/>
        </w:rPr>
        <w:t xml:space="preserve">Все вопросы, касающиеся проведения процедуры, не нашедшие отражения в настоящем извещении, регулируются законодательством Российской Федерации.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Подробнее ознакомиться с объектом продажи, условиями проведения аукциона, подачи Заявки на участие в аукционе, в рабочие дни с 10.00 до 17.00 по телефону: </w:t>
        <w:br/>
        <w:t xml:space="preserve">20-75-18 (внутр. номер 501, 502), в Интернете по адресу: </w:t>
      </w:r>
      <w:r>
        <w:rPr>
          <w:bCs/>
          <w:sz w:val="26"/>
          <w:szCs w:val="26"/>
        </w:rPr>
        <w:t xml:space="preserve">www.torgi.gov. </w:t>
      </w:r>
      <w:r>
        <w:rPr>
          <w:bCs/>
          <w:sz w:val="26"/>
          <w:szCs w:val="26"/>
          <w:lang w:val="en-US"/>
        </w:rPr>
        <w:t xml:space="preserve">r</w:t>
      </w:r>
      <w:r>
        <w:rPr>
          <w:bCs/>
          <w:sz w:val="26"/>
          <w:szCs w:val="26"/>
        </w:rPr>
        <w:t xml:space="preserve">u (ГИС Торги), на официально</w:t>
      </w:r>
      <w:r>
        <w:rPr>
          <w:bCs/>
          <w:sz w:val="26"/>
          <w:szCs w:val="26"/>
        </w:rPr>
        <w:t xml:space="preserve">м сайте уполномоченного органа </w:t>
      </w:r>
      <w:hyperlink r:id="rId28" w:tooltip="http://www.mio.irkobl.ru" w:history="1">
        <w:r>
          <w:rPr>
            <w:rStyle w:val="889"/>
            <w:bCs/>
            <w:color w:val="auto"/>
            <w:sz w:val="26"/>
            <w:szCs w:val="26"/>
            <w:u w:val="none"/>
          </w:rPr>
          <w:t xml:space="preserve">www.mio.irkobl.</w:t>
        </w:r>
        <w:r>
          <w:rPr>
            <w:rStyle w:val="889"/>
            <w:bCs/>
            <w:color w:val="auto"/>
            <w:sz w:val="26"/>
            <w:szCs w:val="26"/>
            <w:u w:val="none"/>
            <w:lang w:val="en-US"/>
          </w:rPr>
          <w:t xml:space="preserve">r</w:t>
        </w:r>
        <w:r>
          <w:rPr>
            <w:rStyle w:val="889"/>
            <w:bCs/>
            <w:color w:val="auto"/>
            <w:sz w:val="26"/>
            <w:szCs w:val="26"/>
            <w:u w:val="none"/>
          </w:rPr>
          <w:t xml:space="preserve">u</w:t>
        </w:r>
      </w:hyperlink>
      <w:r>
        <w:rPr>
          <w:bCs/>
          <w:sz w:val="26"/>
          <w:szCs w:val="26"/>
        </w:rPr>
        <w:t xml:space="preserve">  и  сайте организатора аукциона www.irkfi. ru</w:t>
      </w:r>
      <w:r>
        <w:rPr>
          <w:bCs/>
          <w:sz w:val="26"/>
          <w:szCs w:val="26"/>
          <w:u w:val="single"/>
        </w:rPr>
        <w:t xml:space="preserve">.</w:t>
      </w:r>
      <w:r>
        <w:rPr>
          <w:bCs/>
          <w:sz w:val="26"/>
          <w:szCs w:val="26"/>
          <w:u w:val="single"/>
        </w:rPr>
        <w:t xml:space="preserve"> 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pStyle w:val="882"/>
        <w:spacing w:after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80"/>
        <w:jc w:val="lef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80"/>
        <w:ind w:firstLine="540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Директор</w:t>
      </w:r>
      <w:r>
        <w:rPr>
          <w:color w:val="000000"/>
          <w:sz w:val="26"/>
          <w:szCs w:val="26"/>
        </w:rPr>
        <w:tab/>
        <w:t xml:space="preserve">                                                                 А.Б.Чен-Юн</w:t>
      </w:r>
      <w:r>
        <w:rPr>
          <w:color w:val="000000"/>
          <w:sz w:val="26"/>
          <w:szCs w:val="26"/>
        </w:rPr>
        <w:t xml:space="preserve">-Тай</w:t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sectPr>
      <w:footnotePr/>
      <w:endnotePr/>
      <w:type w:val="nextPage"/>
      <w:pgSz w:w="11906" w:h="16838" w:orient="portrait"/>
      <w:pgMar w:top="568" w:right="849" w:bottom="851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Courier New">
    <w:panose1 w:val="020703090202050204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5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203" w:hanging="495"/>
      </w:pPr>
      <w:rPr>
        <w:rFonts w:hint="default" w:cs="Times New Roman"/>
        <w:b/>
      </w:rPr>
    </w:lvl>
    <w:lvl w:ilvl="2">
      <w:start w:val="1"/>
      <w:numFmt w:val="decimal"/>
      <w:isLgl/>
      <w:suff w:val="tab"/>
      <w:lvlText w:val="%1.%2.%3."/>
      <w:lvlJc w:val="left"/>
      <w:pPr>
        <w:ind w:left="1776" w:hanging="720"/>
      </w:pPr>
      <w:rPr>
        <w:rFonts w:hint="default" w:cs="Times New Roman"/>
        <w:b/>
      </w:rPr>
    </w:lvl>
    <w:lvl w:ilvl="3">
      <w:start w:val="1"/>
      <w:numFmt w:val="decimal"/>
      <w:isLgl/>
      <w:suff w:val="tab"/>
      <w:lvlText w:val="%1.%2.%3.%4."/>
      <w:lvlJc w:val="left"/>
      <w:pPr>
        <w:ind w:left="2124" w:hanging="720"/>
      </w:pPr>
      <w:rPr>
        <w:rFonts w:hint="default" w:cs="Times New Roman"/>
        <w:b/>
      </w:rPr>
    </w:lvl>
    <w:lvl w:ilvl="4">
      <w:start w:val="1"/>
      <w:numFmt w:val="decimal"/>
      <w:isLgl/>
      <w:suff w:val="tab"/>
      <w:lvlText w:val="%1.%2.%3.%4.%5."/>
      <w:lvlJc w:val="left"/>
      <w:pPr>
        <w:ind w:left="2832" w:hanging="1080"/>
      </w:pPr>
      <w:rPr>
        <w:rFonts w:hint="default" w:cs="Times New Roman"/>
        <w:b/>
      </w:rPr>
    </w:lvl>
    <w:lvl w:ilvl="5">
      <w:start w:val="1"/>
      <w:numFmt w:val="decimal"/>
      <w:isLgl/>
      <w:suff w:val="tab"/>
      <w:lvlText w:val="%1.%2.%3.%4.%5.%6."/>
      <w:lvlJc w:val="left"/>
      <w:pPr>
        <w:ind w:left="3180" w:hanging="1080"/>
      </w:pPr>
      <w:rPr>
        <w:rFonts w:hint="default" w:cs="Times New Roman"/>
        <w:b/>
      </w:rPr>
    </w:lvl>
    <w:lvl w:ilvl="6">
      <w:start w:val="1"/>
      <w:numFmt w:val="decimal"/>
      <w:isLgl/>
      <w:suff w:val="tab"/>
      <w:lvlText w:val="%1.%2.%3.%4.%5.%6.%7."/>
      <w:lvlJc w:val="left"/>
      <w:pPr>
        <w:ind w:left="3888" w:hanging="1440"/>
      </w:pPr>
      <w:rPr>
        <w:rFonts w:hint="default" w:cs="Times New Roman"/>
        <w:b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236" w:hanging="1440"/>
      </w:pPr>
      <w:rPr>
        <w:rFonts w:hint="default" w:cs="Times New Roman"/>
        <w:b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944" w:hanging="1800"/>
      </w:pPr>
      <w:rPr>
        <w:rFonts w:hint="default" w:cs="Times New Roman"/>
        <w:b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4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531" w:hanging="128"/>
      </w:pPr>
      <w:rPr>
        <w:rFonts w:hint="default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1600" w:hanging="128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661" w:hanging="128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721" w:hanging="128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782" w:hanging="128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843" w:hanging="128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903" w:hanging="128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964" w:hanging="128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9025" w:hanging="128"/>
      </w:pPr>
      <w:rPr>
        <w:rFonts w:hint="default"/>
        <w:lang w:val="ru-RU" w:eastAsia="en-US" w:bidi="ar-SA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61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3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5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7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9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1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3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59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9">
    <w:multiLevelType w:val="hybridMultilevel"/>
    <w:lvl w:ilvl="0">
      <w:start w:val="5"/>
      <w:numFmt w:val="decimal"/>
      <w:isLgl w:val="false"/>
      <w:suff w:val="tab"/>
      <w:lvlText w:val="4.%1."/>
      <w:legacy w:legacy="1" w:legacyIndent="518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0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)"/>
      <w:legacy w:legacy="1" w:legacyIndent="302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8"/>
  </w:num>
  <w:num w:numId="3">
    <w:abstractNumId w:val="3"/>
  </w:num>
  <w:num w:numId="4">
    <w:abstractNumId w:val="6"/>
  </w:num>
  <w:num w:numId="5">
    <w:abstractNumId w:val="12"/>
  </w:num>
  <w:num w:numId="6">
    <w:abstractNumId w:val="10"/>
  </w:num>
  <w:num w:numId="7">
    <w:abstractNumId w:val="9"/>
  </w:num>
  <w:num w:numId="8">
    <w:abstractNumId w:val="14"/>
  </w:num>
  <w:num w:numId="9">
    <w:abstractNumId w:val="2"/>
  </w:num>
  <w:num w:numId="10">
    <w:abstractNumId w:val="4"/>
  </w:num>
  <w:num w:numId="11">
    <w:abstractNumId w:val="15"/>
  </w:num>
  <w:num w:numId="12">
    <w:abstractNumId w:val="7"/>
  </w:num>
  <w:num w:numId="13">
    <w:abstractNumId w:val="5"/>
  </w:num>
  <w:num w:numId="14">
    <w:abstractNumId w:val="1"/>
  </w:num>
  <w:num w:numId="15">
    <w:abstractNumId w:val="11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86">
    <w:name w:val="Heading 1 Char"/>
    <w:basedOn w:val="713"/>
    <w:link w:val="704"/>
    <w:uiPriority w:val="9"/>
    <w:rPr>
      <w:rFonts w:ascii="Arial" w:hAnsi="Arial" w:eastAsia="Arial" w:cs="Arial"/>
      <w:sz w:val="40"/>
      <w:szCs w:val="40"/>
    </w:rPr>
  </w:style>
  <w:style w:type="character" w:styleId="687">
    <w:name w:val="Heading 2 Char"/>
    <w:basedOn w:val="713"/>
    <w:link w:val="705"/>
    <w:uiPriority w:val="9"/>
    <w:rPr>
      <w:rFonts w:ascii="Arial" w:hAnsi="Arial" w:eastAsia="Arial" w:cs="Arial"/>
      <w:sz w:val="34"/>
    </w:rPr>
  </w:style>
  <w:style w:type="character" w:styleId="688">
    <w:name w:val="Heading 3 Char"/>
    <w:basedOn w:val="713"/>
    <w:link w:val="706"/>
    <w:uiPriority w:val="9"/>
    <w:rPr>
      <w:rFonts w:ascii="Arial" w:hAnsi="Arial" w:eastAsia="Arial" w:cs="Arial"/>
      <w:sz w:val="30"/>
      <w:szCs w:val="30"/>
    </w:rPr>
  </w:style>
  <w:style w:type="character" w:styleId="689">
    <w:name w:val="Heading 4 Char"/>
    <w:basedOn w:val="713"/>
    <w:link w:val="707"/>
    <w:uiPriority w:val="9"/>
    <w:rPr>
      <w:rFonts w:ascii="Arial" w:hAnsi="Arial" w:eastAsia="Arial" w:cs="Arial"/>
      <w:b/>
      <w:bCs/>
      <w:sz w:val="26"/>
      <w:szCs w:val="26"/>
    </w:rPr>
  </w:style>
  <w:style w:type="character" w:styleId="690">
    <w:name w:val="Heading 5 Char"/>
    <w:basedOn w:val="713"/>
    <w:link w:val="708"/>
    <w:uiPriority w:val="9"/>
    <w:rPr>
      <w:rFonts w:ascii="Arial" w:hAnsi="Arial" w:eastAsia="Arial" w:cs="Arial"/>
      <w:b/>
      <w:bCs/>
      <w:sz w:val="24"/>
      <w:szCs w:val="24"/>
    </w:rPr>
  </w:style>
  <w:style w:type="character" w:styleId="691">
    <w:name w:val="Heading 6 Char"/>
    <w:basedOn w:val="713"/>
    <w:link w:val="709"/>
    <w:uiPriority w:val="9"/>
    <w:rPr>
      <w:rFonts w:ascii="Arial" w:hAnsi="Arial" w:eastAsia="Arial" w:cs="Arial"/>
      <w:b/>
      <w:bCs/>
      <w:sz w:val="22"/>
      <w:szCs w:val="22"/>
    </w:rPr>
  </w:style>
  <w:style w:type="character" w:styleId="692">
    <w:name w:val="Heading 7 Char"/>
    <w:basedOn w:val="713"/>
    <w:link w:val="71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3">
    <w:name w:val="Heading 8 Char"/>
    <w:basedOn w:val="713"/>
    <w:link w:val="711"/>
    <w:uiPriority w:val="9"/>
    <w:rPr>
      <w:rFonts w:ascii="Arial" w:hAnsi="Arial" w:eastAsia="Arial" w:cs="Arial"/>
      <w:i/>
      <w:iCs/>
      <w:sz w:val="22"/>
      <w:szCs w:val="22"/>
    </w:rPr>
  </w:style>
  <w:style w:type="character" w:styleId="694">
    <w:name w:val="Heading 9 Char"/>
    <w:basedOn w:val="713"/>
    <w:link w:val="712"/>
    <w:uiPriority w:val="9"/>
    <w:rPr>
      <w:rFonts w:ascii="Arial" w:hAnsi="Arial" w:eastAsia="Arial" w:cs="Arial"/>
      <w:i/>
      <w:iCs/>
      <w:sz w:val="21"/>
      <w:szCs w:val="21"/>
    </w:rPr>
  </w:style>
  <w:style w:type="character" w:styleId="695">
    <w:name w:val="Subtitle Char"/>
    <w:basedOn w:val="713"/>
    <w:link w:val="727"/>
    <w:uiPriority w:val="11"/>
    <w:rPr>
      <w:sz w:val="24"/>
      <w:szCs w:val="24"/>
    </w:rPr>
  </w:style>
  <w:style w:type="character" w:styleId="696">
    <w:name w:val="Quote Char"/>
    <w:link w:val="729"/>
    <w:uiPriority w:val="29"/>
    <w:rPr>
      <w:i/>
    </w:rPr>
  </w:style>
  <w:style w:type="character" w:styleId="697">
    <w:name w:val="Intense Quote Char"/>
    <w:link w:val="731"/>
    <w:uiPriority w:val="30"/>
    <w:rPr>
      <w:i/>
    </w:rPr>
  </w:style>
  <w:style w:type="character" w:styleId="698">
    <w:name w:val="Header Char"/>
    <w:basedOn w:val="713"/>
    <w:link w:val="733"/>
    <w:uiPriority w:val="99"/>
  </w:style>
  <w:style w:type="character" w:styleId="699">
    <w:name w:val="Footer Char"/>
    <w:basedOn w:val="713"/>
    <w:link w:val="735"/>
    <w:uiPriority w:val="99"/>
  </w:style>
  <w:style w:type="character" w:styleId="700">
    <w:name w:val="Caption Char"/>
    <w:basedOn w:val="713"/>
    <w:link w:val="908"/>
    <w:uiPriority w:val="35"/>
    <w:rPr>
      <w:b/>
      <w:bCs/>
      <w:color w:val="4f81bd" w:themeColor="accent1"/>
      <w:sz w:val="18"/>
      <w:szCs w:val="18"/>
    </w:rPr>
  </w:style>
  <w:style w:type="character" w:styleId="701">
    <w:name w:val="Footnote Text Char"/>
    <w:link w:val="863"/>
    <w:uiPriority w:val="99"/>
    <w:rPr>
      <w:sz w:val="18"/>
    </w:rPr>
  </w:style>
  <w:style w:type="character" w:styleId="702">
    <w:name w:val="Endnote Text Char"/>
    <w:link w:val="866"/>
    <w:uiPriority w:val="99"/>
    <w:rPr>
      <w:sz w:val="20"/>
    </w:rPr>
  </w:style>
  <w:style w:type="paragraph" w:styleId="703" w:default="1">
    <w:name w:val="Normal"/>
    <w:qFormat/>
    <w:rPr>
      <w:sz w:val="24"/>
      <w:szCs w:val="24"/>
    </w:rPr>
  </w:style>
  <w:style w:type="paragraph" w:styleId="704">
    <w:name w:val="Heading 1"/>
    <w:basedOn w:val="703"/>
    <w:next w:val="703"/>
    <w:link w:val="716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05">
    <w:name w:val="Heading 2"/>
    <w:basedOn w:val="703"/>
    <w:next w:val="703"/>
    <w:link w:val="71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06">
    <w:name w:val="Heading 3"/>
    <w:basedOn w:val="703"/>
    <w:next w:val="703"/>
    <w:link w:val="7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07">
    <w:name w:val="Heading 4"/>
    <w:basedOn w:val="703"/>
    <w:next w:val="703"/>
    <w:link w:val="7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08">
    <w:name w:val="Heading 5"/>
    <w:basedOn w:val="703"/>
    <w:next w:val="703"/>
    <w:link w:val="7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709">
    <w:name w:val="Heading 6"/>
    <w:basedOn w:val="703"/>
    <w:next w:val="703"/>
    <w:link w:val="72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10">
    <w:name w:val="Heading 7"/>
    <w:basedOn w:val="703"/>
    <w:next w:val="703"/>
    <w:link w:val="72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11">
    <w:name w:val="Heading 8"/>
    <w:basedOn w:val="703"/>
    <w:next w:val="703"/>
    <w:link w:val="72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12">
    <w:name w:val="Heading 9"/>
    <w:basedOn w:val="703"/>
    <w:next w:val="703"/>
    <w:link w:val="72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3" w:default="1">
    <w:name w:val="Default Paragraph Font"/>
    <w:uiPriority w:val="1"/>
    <w:semiHidden/>
    <w:unhideWhenUsed/>
  </w:style>
  <w:style w:type="table" w:styleId="71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15" w:default="1">
    <w:name w:val="No List"/>
    <w:uiPriority w:val="99"/>
    <w:semiHidden/>
    <w:unhideWhenUsed/>
  </w:style>
  <w:style w:type="character" w:styleId="716" w:customStyle="1">
    <w:name w:val="Заголовок 1 Знак"/>
    <w:basedOn w:val="713"/>
    <w:link w:val="704"/>
    <w:uiPriority w:val="9"/>
    <w:rPr>
      <w:rFonts w:ascii="Arial" w:hAnsi="Arial" w:eastAsia="Arial" w:cs="Arial"/>
      <w:sz w:val="40"/>
      <w:szCs w:val="40"/>
    </w:rPr>
  </w:style>
  <w:style w:type="character" w:styleId="717" w:customStyle="1">
    <w:name w:val="Заголовок 2 Знак"/>
    <w:basedOn w:val="713"/>
    <w:link w:val="705"/>
    <w:uiPriority w:val="9"/>
    <w:rPr>
      <w:rFonts w:ascii="Arial" w:hAnsi="Arial" w:eastAsia="Arial" w:cs="Arial"/>
      <w:sz w:val="34"/>
    </w:rPr>
  </w:style>
  <w:style w:type="character" w:styleId="718" w:customStyle="1">
    <w:name w:val="Заголовок 3 Знак"/>
    <w:basedOn w:val="713"/>
    <w:link w:val="706"/>
    <w:uiPriority w:val="9"/>
    <w:rPr>
      <w:rFonts w:ascii="Arial" w:hAnsi="Arial" w:eastAsia="Arial" w:cs="Arial"/>
      <w:sz w:val="30"/>
      <w:szCs w:val="30"/>
    </w:rPr>
  </w:style>
  <w:style w:type="character" w:styleId="719" w:customStyle="1">
    <w:name w:val="Заголовок 4 Знак"/>
    <w:basedOn w:val="713"/>
    <w:link w:val="707"/>
    <w:uiPriority w:val="9"/>
    <w:rPr>
      <w:rFonts w:ascii="Arial" w:hAnsi="Arial" w:eastAsia="Arial" w:cs="Arial"/>
      <w:b/>
      <w:bCs/>
      <w:sz w:val="26"/>
      <w:szCs w:val="26"/>
    </w:rPr>
  </w:style>
  <w:style w:type="character" w:styleId="720" w:customStyle="1">
    <w:name w:val="Заголовок 5 Знак"/>
    <w:basedOn w:val="713"/>
    <w:link w:val="708"/>
    <w:uiPriority w:val="9"/>
    <w:rPr>
      <w:rFonts w:ascii="Arial" w:hAnsi="Arial" w:eastAsia="Arial" w:cs="Arial"/>
      <w:b/>
      <w:bCs/>
      <w:sz w:val="24"/>
      <w:szCs w:val="24"/>
    </w:rPr>
  </w:style>
  <w:style w:type="character" w:styleId="721" w:customStyle="1">
    <w:name w:val="Заголовок 6 Знак"/>
    <w:basedOn w:val="713"/>
    <w:link w:val="709"/>
    <w:uiPriority w:val="9"/>
    <w:rPr>
      <w:rFonts w:ascii="Arial" w:hAnsi="Arial" w:eastAsia="Arial" w:cs="Arial"/>
      <w:b/>
      <w:bCs/>
      <w:sz w:val="22"/>
      <w:szCs w:val="22"/>
    </w:rPr>
  </w:style>
  <w:style w:type="character" w:styleId="722" w:customStyle="1">
    <w:name w:val="Заголовок 7 Знак"/>
    <w:basedOn w:val="713"/>
    <w:link w:val="71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23" w:customStyle="1">
    <w:name w:val="Заголовок 8 Знак"/>
    <w:basedOn w:val="713"/>
    <w:link w:val="711"/>
    <w:uiPriority w:val="9"/>
    <w:rPr>
      <w:rFonts w:ascii="Arial" w:hAnsi="Arial" w:eastAsia="Arial" w:cs="Arial"/>
      <w:i/>
      <w:iCs/>
      <w:sz w:val="22"/>
      <w:szCs w:val="22"/>
    </w:rPr>
  </w:style>
  <w:style w:type="character" w:styleId="724" w:customStyle="1">
    <w:name w:val="Заголовок 9 Знак"/>
    <w:basedOn w:val="713"/>
    <w:link w:val="712"/>
    <w:uiPriority w:val="9"/>
    <w:rPr>
      <w:rFonts w:ascii="Arial" w:hAnsi="Arial" w:eastAsia="Arial" w:cs="Arial"/>
      <w:i/>
      <w:iCs/>
      <w:sz w:val="21"/>
      <w:szCs w:val="21"/>
    </w:rPr>
  </w:style>
  <w:style w:type="paragraph" w:styleId="725">
    <w:name w:val="No Spacing"/>
    <w:uiPriority w:val="1"/>
    <w:qFormat/>
  </w:style>
  <w:style w:type="character" w:styleId="726" w:customStyle="1">
    <w:name w:val="Title Char"/>
    <w:basedOn w:val="713"/>
    <w:uiPriority w:val="10"/>
    <w:rPr>
      <w:sz w:val="48"/>
      <w:szCs w:val="48"/>
    </w:rPr>
  </w:style>
  <w:style w:type="paragraph" w:styleId="727">
    <w:name w:val="Subtitle"/>
    <w:basedOn w:val="703"/>
    <w:next w:val="703"/>
    <w:link w:val="728"/>
    <w:uiPriority w:val="11"/>
    <w:qFormat/>
    <w:pPr>
      <w:spacing w:before="200" w:after="200"/>
    </w:pPr>
  </w:style>
  <w:style w:type="character" w:styleId="728" w:customStyle="1">
    <w:name w:val="Подзаголовок Знак"/>
    <w:basedOn w:val="713"/>
    <w:link w:val="727"/>
    <w:uiPriority w:val="11"/>
    <w:rPr>
      <w:sz w:val="24"/>
      <w:szCs w:val="24"/>
    </w:rPr>
  </w:style>
  <w:style w:type="paragraph" w:styleId="729">
    <w:name w:val="Quote"/>
    <w:basedOn w:val="703"/>
    <w:next w:val="703"/>
    <w:link w:val="730"/>
    <w:uiPriority w:val="29"/>
    <w:qFormat/>
    <w:pPr>
      <w:ind w:left="720" w:right="720"/>
    </w:pPr>
    <w:rPr>
      <w:i/>
    </w:rPr>
  </w:style>
  <w:style w:type="character" w:styleId="730" w:customStyle="1">
    <w:name w:val="Цитата 2 Знак"/>
    <w:link w:val="729"/>
    <w:uiPriority w:val="29"/>
    <w:rPr>
      <w:i/>
    </w:rPr>
  </w:style>
  <w:style w:type="paragraph" w:styleId="731">
    <w:name w:val="Intense Quote"/>
    <w:basedOn w:val="703"/>
    <w:next w:val="703"/>
    <w:link w:val="732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2" w:customStyle="1">
    <w:name w:val="Выделенная цитата Знак"/>
    <w:link w:val="731"/>
    <w:uiPriority w:val="30"/>
    <w:rPr>
      <w:i/>
    </w:rPr>
  </w:style>
  <w:style w:type="paragraph" w:styleId="733">
    <w:name w:val="Header"/>
    <w:basedOn w:val="703"/>
    <w:link w:val="734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34" w:customStyle="1">
    <w:name w:val="Верхний колонтитул Знак"/>
    <w:basedOn w:val="713"/>
    <w:link w:val="733"/>
    <w:uiPriority w:val="99"/>
  </w:style>
  <w:style w:type="paragraph" w:styleId="735">
    <w:name w:val="Footer"/>
    <w:basedOn w:val="703"/>
    <w:link w:val="736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36" w:customStyle="1">
    <w:name w:val="Нижний колонтитул Знак"/>
    <w:basedOn w:val="713"/>
    <w:link w:val="735"/>
    <w:uiPriority w:val="99"/>
  </w:style>
  <w:style w:type="character" w:styleId="737" w:customStyle="1">
    <w:name w:val="Название объекта Знак"/>
    <w:basedOn w:val="713"/>
    <w:link w:val="908"/>
    <w:uiPriority w:val="35"/>
    <w:rPr>
      <w:b/>
      <w:bCs/>
      <w:color w:val="4f81bd" w:themeColor="accent1"/>
      <w:sz w:val="18"/>
      <w:szCs w:val="18"/>
    </w:rPr>
  </w:style>
  <w:style w:type="table" w:styleId="738" w:customStyle="1">
    <w:name w:val="Table Grid Light"/>
    <w:basedOn w:val="714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39">
    <w:name w:val="Plain Table 1"/>
    <w:basedOn w:val="714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0">
    <w:name w:val="Plain Table 2"/>
    <w:basedOn w:val="714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1">
    <w:name w:val="Plain Table 3"/>
    <w:basedOn w:val="714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2">
    <w:name w:val="Plain Table 4"/>
    <w:basedOn w:val="714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Plain Table 5"/>
    <w:basedOn w:val="714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4">
    <w:name w:val="Grid Table 1 Light"/>
    <w:basedOn w:val="714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 w:customStyle="1">
    <w:name w:val="Grid Table 1 Light - Accent 1"/>
    <w:basedOn w:val="714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 w:customStyle="1">
    <w:name w:val="Grid Table 1 Light - Accent 2"/>
    <w:basedOn w:val="714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 w:customStyle="1">
    <w:name w:val="Grid Table 1 Light - Accent 3"/>
    <w:basedOn w:val="714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 w:customStyle="1">
    <w:name w:val="Grid Table 1 Light - Accent 4"/>
    <w:basedOn w:val="714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 w:customStyle="1">
    <w:name w:val="Grid Table 1 Light - Accent 5"/>
    <w:basedOn w:val="714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 w:customStyle="1">
    <w:name w:val="Grid Table 1 Light - Accent 6"/>
    <w:basedOn w:val="714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Grid Table 2"/>
    <w:basedOn w:val="714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2 - Accent 1"/>
    <w:basedOn w:val="714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Grid Table 2 - Accent 2"/>
    <w:basedOn w:val="714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Grid Table 2 - Accent 3"/>
    <w:basedOn w:val="714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 w:customStyle="1">
    <w:name w:val="Grid Table 2 - Accent 4"/>
    <w:basedOn w:val="714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 w:customStyle="1">
    <w:name w:val="Grid Table 2 - Accent 5"/>
    <w:basedOn w:val="714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 w:customStyle="1">
    <w:name w:val="Grid Table 2 - Accent 6"/>
    <w:basedOn w:val="714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3"/>
    <w:basedOn w:val="714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3 - Accent 1"/>
    <w:basedOn w:val="714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3 - Accent 2"/>
    <w:basedOn w:val="714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3 - Accent 3"/>
    <w:basedOn w:val="714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3 - Accent 4"/>
    <w:basedOn w:val="714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3 - Accent 5"/>
    <w:basedOn w:val="714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3 - Accent 6"/>
    <w:basedOn w:val="714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4"/>
    <w:basedOn w:val="714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6" w:customStyle="1">
    <w:name w:val="Grid Table 4 - Accent 1"/>
    <w:basedOn w:val="714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67" w:customStyle="1">
    <w:name w:val="Grid Table 4 - Accent 2"/>
    <w:basedOn w:val="714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68" w:customStyle="1">
    <w:name w:val="Grid Table 4 - Accent 3"/>
    <w:basedOn w:val="714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69" w:customStyle="1">
    <w:name w:val="Grid Table 4 - Accent 4"/>
    <w:basedOn w:val="714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70" w:customStyle="1">
    <w:name w:val="Grid Table 4 - Accent 5"/>
    <w:basedOn w:val="714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71" w:customStyle="1">
    <w:name w:val="Grid Table 4 - Accent 6"/>
    <w:basedOn w:val="714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72">
    <w:name w:val="Grid Table 5 Dark"/>
    <w:basedOn w:val="71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73" w:customStyle="1">
    <w:name w:val="Grid Table 5 Dark- Accent 1"/>
    <w:basedOn w:val="71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74" w:customStyle="1">
    <w:name w:val="Grid Table 5 Dark - Accent 2"/>
    <w:basedOn w:val="71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75" w:customStyle="1">
    <w:name w:val="Grid Table 5 Dark - Accent 3"/>
    <w:basedOn w:val="71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76" w:customStyle="1">
    <w:name w:val="Grid Table 5 Dark- Accent 4"/>
    <w:basedOn w:val="71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77" w:customStyle="1">
    <w:name w:val="Grid Table 5 Dark - Accent 5"/>
    <w:basedOn w:val="71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78" w:customStyle="1">
    <w:name w:val="Grid Table 5 Dark - Accent 6"/>
    <w:basedOn w:val="71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79">
    <w:name w:val="Grid Table 6 Colorful"/>
    <w:basedOn w:val="714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80" w:customStyle="1">
    <w:name w:val="Grid Table 6 Colorful - Accent 1"/>
    <w:basedOn w:val="714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81" w:customStyle="1">
    <w:name w:val="Grid Table 6 Colorful - Accent 2"/>
    <w:basedOn w:val="714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82" w:customStyle="1">
    <w:name w:val="Grid Table 6 Colorful - Accent 3"/>
    <w:basedOn w:val="714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83" w:customStyle="1">
    <w:name w:val="Grid Table 6 Colorful - Accent 4"/>
    <w:basedOn w:val="714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84" w:customStyle="1">
    <w:name w:val="Grid Table 6 Colorful - Accent 5"/>
    <w:basedOn w:val="714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85" w:customStyle="1">
    <w:name w:val="Grid Table 6 Colorful - Accent 6"/>
    <w:basedOn w:val="714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86">
    <w:name w:val="Grid Table 7 Colorful"/>
    <w:basedOn w:val="714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Grid Table 7 Colorful - Accent 1"/>
    <w:basedOn w:val="714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Grid Table 7 Colorful - Accent 2"/>
    <w:basedOn w:val="714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Grid Table 7 Colorful - Accent 3"/>
    <w:basedOn w:val="714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Grid Table 7 Colorful - Accent 4"/>
    <w:basedOn w:val="714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Grid Table 7 Colorful - Accent 5"/>
    <w:basedOn w:val="714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Grid Table 7 Colorful - Accent 6"/>
    <w:basedOn w:val="714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1 Light"/>
    <w:basedOn w:val="714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List Table 1 Light - Accent 1"/>
    <w:basedOn w:val="714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List Table 1 Light - Accent 2"/>
    <w:basedOn w:val="714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List Table 1 Light - Accent 3"/>
    <w:basedOn w:val="714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List Table 1 Light - Accent 4"/>
    <w:basedOn w:val="714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List Table 1 Light - Accent 5"/>
    <w:basedOn w:val="714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List Table 1 Light - Accent 6"/>
    <w:basedOn w:val="714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List Table 2"/>
    <w:basedOn w:val="714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01" w:customStyle="1">
    <w:name w:val="List Table 2 - Accent 1"/>
    <w:basedOn w:val="714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02" w:customStyle="1">
    <w:name w:val="List Table 2 - Accent 2"/>
    <w:basedOn w:val="714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03" w:customStyle="1">
    <w:name w:val="List Table 2 - Accent 3"/>
    <w:basedOn w:val="714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04" w:customStyle="1">
    <w:name w:val="List Table 2 - Accent 4"/>
    <w:basedOn w:val="714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05" w:customStyle="1">
    <w:name w:val="List Table 2 - Accent 5"/>
    <w:basedOn w:val="714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06" w:customStyle="1">
    <w:name w:val="List Table 2 - Accent 6"/>
    <w:basedOn w:val="714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07">
    <w:name w:val="List Table 3"/>
    <w:basedOn w:val="71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3 - Accent 1"/>
    <w:basedOn w:val="714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List Table 3 - Accent 2"/>
    <w:basedOn w:val="714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 w:customStyle="1">
    <w:name w:val="List Table 3 - Accent 3"/>
    <w:basedOn w:val="714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 w:customStyle="1">
    <w:name w:val="List Table 3 - Accent 4"/>
    <w:basedOn w:val="714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 w:customStyle="1">
    <w:name w:val="List Table 3 - Accent 5"/>
    <w:basedOn w:val="714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 w:customStyle="1">
    <w:name w:val="List Table 3 - Accent 6"/>
    <w:basedOn w:val="714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4"/>
    <w:basedOn w:val="71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 w:customStyle="1">
    <w:name w:val="List Table 4 - Accent 1"/>
    <w:basedOn w:val="714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 w:customStyle="1">
    <w:name w:val="List Table 4 - Accent 2"/>
    <w:basedOn w:val="714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 w:customStyle="1">
    <w:name w:val="List Table 4 - Accent 3"/>
    <w:basedOn w:val="714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 w:customStyle="1">
    <w:name w:val="List Table 4 - Accent 4"/>
    <w:basedOn w:val="714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 w:customStyle="1">
    <w:name w:val="List Table 4 - Accent 5"/>
    <w:basedOn w:val="714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 w:customStyle="1">
    <w:name w:val="List Table 4 - Accent 6"/>
    <w:basedOn w:val="714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5 Dark"/>
    <w:basedOn w:val="714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2" w:customStyle="1">
    <w:name w:val="List Table 5 Dark - Accent 1"/>
    <w:basedOn w:val="714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3" w:customStyle="1">
    <w:name w:val="List Table 5 Dark - Accent 2"/>
    <w:basedOn w:val="714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4" w:customStyle="1">
    <w:name w:val="List Table 5 Dark - Accent 3"/>
    <w:basedOn w:val="714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5" w:customStyle="1">
    <w:name w:val="List Table 5 Dark - Accent 4"/>
    <w:basedOn w:val="714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6" w:customStyle="1">
    <w:name w:val="List Table 5 Dark - Accent 5"/>
    <w:basedOn w:val="714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7" w:customStyle="1">
    <w:name w:val="List Table 5 Dark - Accent 6"/>
    <w:basedOn w:val="714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8">
    <w:name w:val="List Table 6 Colorful"/>
    <w:basedOn w:val="714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29" w:customStyle="1">
    <w:name w:val="List Table 6 Colorful - Accent 1"/>
    <w:basedOn w:val="714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30" w:customStyle="1">
    <w:name w:val="List Table 6 Colorful - Accent 2"/>
    <w:basedOn w:val="714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31" w:customStyle="1">
    <w:name w:val="List Table 6 Colorful - Accent 3"/>
    <w:basedOn w:val="714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32" w:customStyle="1">
    <w:name w:val="List Table 6 Colorful - Accent 4"/>
    <w:basedOn w:val="714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33" w:customStyle="1">
    <w:name w:val="List Table 6 Colorful - Accent 5"/>
    <w:basedOn w:val="714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34" w:customStyle="1">
    <w:name w:val="List Table 6 Colorful - Accent 6"/>
    <w:basedOn w:val="714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35">
    <w:name w:val="List Table 7 Colorful"/>
    <w:basedOn w:val="714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 w:customStyle="1">
    <w:name w:val="List Table 7 Colorful - Accent 1"/>
    <w:basedOn w:val="714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 w:customStyle="1">
    <w:name w:val="List Table 7 Colorful - Accent 2"/>
    <w:basedOn w:val="714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 w:customStyle="1">
    <w:name w:val="List Table 7 Colorful - Accent 3"/>
    <w:basedOn w:val="714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 w:customStyle="1">
    <w:name w:val="List Table 7 Colorful - Accent 4"/>
    <w:basedOn w:val="714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 w:customStyle="1">
    <w:name w:val="List Table 7 Colorful - Accent 5"/>
    <w:basedOn w:val="714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 w:customStyle="1">
    <w:name w:val="List Table 7 Colorful - Accent 6"/>
    <w:basedOn w:val="714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 w:customStyle="1">
    <w:name w:val="Lined - Accent"/>
    <w:basedOn w:val="714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3" w:customStyle="1">
    <w:name w:val="Lined - Accent 1"/>
    <w:basedOn w:val="714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44" w:customStyle="1">
    <w:name w:val="Lined - Accent 2"/>
    <w:basedOn w:val="714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45" w:customStyle="1">
    <w:name w:val="Lined - Accent 3"/>
    <w:basedOn w:val="714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46" w:customStyle="1">
    <w:name w:val="Lined - Accent 4"/>
    <w:basedOn w:val="714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47" w:customStyle="1">
    <w:name w:val="Lined - Accent 5"/>
    <w:basedOn w:val="714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48" w:customStyle="1">
    <w:name w:val="Lined - Accent 6"/>
    <w:basedOn w:val="714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49" w:customStyle="1">
    <w:name w:val="Bordered &amp; Lined - Accent"/>
    <w:basedOn w:val="714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0" w:customStyle="1">
    <w:name w:val="Bordered &amp; Lined - Accent 1"/>
    <w:basedOn w:val="714"/>
    <w:uiPriority w:val="99"/>
    <w:rPr>
      <w:color w:val="40404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51" w:customStyle="1">
    <w:name w:val="Bordered &amp; Lined - Accent 2"/>
    <w:basedOn w:val="714"/>
    <w:uiPriority w:val="99"/>
    <w:rPr>
      <w:color w:val="40404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52" w:customStyle="1">
    <w:name w:val="Bordered &amp; Lined - Accent 3"/>
    <w:basedOn w:val="714"/>
    <w:uiPriority w:val="99"/>
    <w:rPr>
      <w:color w:val="40404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53" w:customStyle="1">
    <w:name w:val="Bordered &amp; Lined - Accent 4"/>
    <w:basedOn w:val="714"/>
    <w:uiPriority w:val="99"/>
    <w:rPr>
      <w:color w:val="40404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54" w:customStyle="1">
    <w:name w:val="Bordered &amp; Lined - Accent 5"/>
    <w:basedOn w:val="714"/>
    <w:uiPriority w:val="99"/>
    <w:rPr>
      <w:color w:val="40404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55" w:customStyle="1">
    <w:name w:val="Bordered &amp; Lined - Accent 6"/>
    <w:basedOn w:val="714"/>
    <w:uiPriority w:val="99"/>
    <w:rPr>
      <w:color w:val="40404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56" w:customStyle="1">
    <w:name w:val="Bordered"/>
    <w:basedOn w:val="714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57" w:customStyle="1">
    <w:name w:val="Bordered - Accent 1"/>
    <w:basedOn w:val="714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58" w:customStyle="1">
    <w:name w:val="Bordered - Accent 2"/>
    <w:basedOn w:val="714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59" w:customStyle="1">
    <w:name w:val="Bordered - Accent 3"/>
    <w:basedOn w:val="714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60" w:customStyle="1">
    <w:name w:val="Bordered - Accent 4"/>
    <w:basedOn w:val="714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61" w:customStyle="1">
    <w:name w:val="Bordered - Accent 5"/>
    <w:basedOn w:val="714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62" w:customStyle="1">
    <w:name w:val="Bordered - Accent 6"/>
    <w:basedOn w:val="714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863">
    <w:name w:val="footnote text"/>
    <w:basedOn w:val="703"/>
    <w:link w:val="864"/>
    <w:uiPriority w:val="99"/>
    <w:semiHidden/>
    <w:unhideWhenUsed/>
    <w:pPr>
      <w:spacing w:after="40"/>
    </w:pPr>
    <w:rPr>
      <w:sz w:val="18"/>
    </w:rPr>
  </w:style>
  <w:style w:type="character" w:styleId="864" w:customStyle="1">
    <w:name w:val="Текст сноски Знак"/>
    <w:link w:val="863"/>
    <w:uiPriority w:val="99"/>
    <w:rPr>
      <w:sz w:val="18"/>
    </w:rPr>
  </w:style>
  <w:style w:type="character" w:styleId="865">
    <w:name w:val="footnote reference"/>
    <w:basedOn w:val="713"/>
    <w:uiPriority w:val="99"/>
    <w:unhideWhenUsed/>
    <w:rPr>
      <w:vertAlign w:val="superscript"/>
    </w:rPr>
  </w:style>
  <w:style w:type="paragraph" w:styleId="866">
    <w:name w:val="endnote text"/>
    <w:basedOn w:val="703"/>
    <w:link w:val="867"/>
    <w:uiPriority w:val="99"/>
    <w:semiHidden/>
    <w:unhideWhenUsed/>
    <w:rPr>
      <w:sz w:val="20"/>
    </w:rPr>
  </w:style>
  <w:style w:type="character" w:styleId="867" w:customStyle="1">
    <w:name w:val="Текст концевой сноски Знак"/>
    <w:link w:val="866"/>
    <w:uiPriority w:val="99"/>
    <w:rPr>
      <w:sz w:val="20"/>
    </w:rPr>
  </w:style>
  <w:style w:type="character" w:styleId="868">
    <w:name w:val="endnote reference"/>
    <w:basedOn w:val="713"/>
    <w:uiPriority w:val="99"/>
    <w:semiHidden/>
    <w:unhideWhenUsed/>
    <w:rPr>
      <w:vertAlign w:val="superscript"/>
    </w:rPr>
  </w:style>
  <w:style w:type="paragraph" w:styleId="869">
    <w:name w:val="toc 1"/>
    <w:basedOn w:val="703"/>
    <w:next w:val="703"/>
    <w:uiPriority w:val="39"/>
    <w:unhideWhenUsed/>
    <w:pPr>
      <w:spacing w:after="57"/>
    </w:pPr>
  </w:style>
  <w:style w:type="paragraph" w:styleId="870">
    <w:name w:val="toc 2"/>
    <w:basedOn w:val="703"/>
    <w:next w:val="703"/>
    <w:uiPriority w:val="39"/>
    <w:unhideWhenUsed/>
    <w:pPr>
      <w:ind w:left="283"/>
      <w:spacing w:after="57"/>
    </w:pPr>
  </w:style>
  <w:style w:type="paragraph" w:styleId="871">
    <w:name w:val="toc 3"/>
    <w:basedOn w:val="703"/>
    <w:next w:val="703"/>
    <w:uiPriority w:val="39"/>
    <w:unhideWhenUsed/>
    <w:pPr>
      <w:ind w:left="567"/>
      <w:spacing w:after="57"/>
    </w:pPr>
  </w:style>
  <w:style w:type="paragraph" w:styleId="872">
    <w:name w:val="toc 4"/>
    <w:basedOn w:val="703"/>
    <w:next w:val="703"/>
    <w:uiPriority w:val="39"/>
    <w:unhideWhenUsed/>
    <w:pPr>
      <w:ind w:left="850"/>
      <w:spacing w:after="57"/>
    </w:pPr>
  </w:style>
  <w:style w:type="paragraph" w:styleId="873">
    <w:name w:val="toc 5"/>
    <w:basedOn w:val="703"/>
    <w:next w:val="703"/>
    <w:uiPriority w:val="39"/>
    <w:unhideWhenUsed/>
    <w:pPr>
      <w:ind w:left="1134"/>
      <w:spacing w:after="57"/>
    </w:pPr>
  </w:style>
  <w:style w:type="paragraph" w:styleId="874">
    <w:name w:val="toc 6"/>
    <w:basedOn w:val="703"/>
    <w:next w:val="703"/>
    <w:uiPriority w:val="39"/>
    <w:unhideWhenUsed/>
    <w:pPr>
      <w:ind w:left="1417"/>
      <w:spacing w:after="57"/>
    </w:pPr>
  </w:style>
  <w:style w:type="paragraph" w:styleId="875">
    <w:name w:val="toc 7"/>
    <w:basedOn w:val="703"/>
    <w:next w:val="703"/>
    <w:uiPriority w:val="39"/>
    <w:unhideWhenUsed/>
    <w:pPr>
      <w:ind w:left="1701"/>
      <w:spacing w:after="57"/>
    </w:pPr>
  </w:style>
  <w:style w:type="paragraph" w:styleId="876">
    <w:name w:val="toc 8"/>
    <w:basedOn w:val="703"/>
    <w:next w:val="703"/>
    <w:uiPriority w:val="39"/>
    <w:unhideWhenUsed/>
    <w:pPr>
      <w:ind w:left="1984"/>
      <w:spacing w:after="57"/>
    </w:pPr>
  </w:style>
  <w:style w:type="paragraph" w:styleId="877">
    <w:name w:val="toc 9"/>
    <w:basedOn w:val="703"/>
    <w:next w:val="703"/>
    <w:uiPriority w:val="39"/>
    <w:unhideWhenUsed/>
    <w:pPr>
      <w:ind w:left="2268"/>
      <w:spacing w:after="57"/>
    </w:pPr>
  </w:style>
  <w:style w:type="paragraph" w:styleId="878">
    <w:name w:val="TOC Heading"/>
    <w:uiPriority w:val="39"/>
    <w:unhideWhenUsed/>
  </w:style>
  <w:style w:type="paragraph" w:styleId="879">
    <w:name w:val="table of figures"/>
    <w:basedOn w:val="703"/>
    <w:next w:val="703"/>
    <w:uiPriority w:val="99"/>
    <w:unhideWhenUsed/>
  </w:style>
  <w:style w:type="paragraph" w:styleId="880">
    <w:name w:val="Title"/>
    <w:basedOn w:val="703"/>
    <w:link w:val="896"/>
    <w:uiPriority w:val="99"/>
    <w:qFormat/>
    <w:pPr>
      <w:jc w:val="center"/>
    </w:pPr>
    <w:rPr>
      <w:bCs/>
      <w:szCs w:val="20"/>
    </w:rPr>
  </w:style>
  <w:style w:type="paragraph" w:styleId="881" w:customStyle="1">
    <w:name w:val="ConsPlusTitle"/>
    <w:rPr>
      <w:b/>
      <w:bCs/>
      <w:sz w:val="24"/>
      <w:szCs w:val="24"/>
    </w:rPr>
  </w:style>
  <w:style w:type="paragraph" w:styleId="882">
    <w:name w:val="Body Text"/>
    <w:basedOn w:val="703"/>
    <w:link w:val="888"/>
    <w:pPr>
      <w:jc w:val="both"/>
      <w:spacing w:after="120"/>
      <w:widowControl w:val="off"/>
    </w:pPr>
    <w:rPr>
      <w:sz w:val="28"/>
      <w:szCs w:val="20"/>
    </w:rPr>
  </w:style>
  <w:style w:type="paragraph" w:styleId="883" w:customStyle="1">
    <w:name w:val="Таблицы (моноширинный)"/>
    <w:basedOn w:val="703"/>
    <w:next w:val="703"/>
    <w:pPr>
      <w:jc w:val="both"/>
      <w:widowControl w:val="off"/>
    </w:pPr>
    <w:rPr>
      <w:rFonts w:ascii="Courier New" w:hAnsi="Courier New" w:cs="Courier New"/>
      <w:sz w:val="20"/>
      <w:szCs w:val="20"/>
    </w:rPr>
  </w:style>
  <w:style w:type="paragraph" w:styleId="884">
    <w:name w:val="Body Text 2"/>
    <w:basedOn w:val="703"/>
    <w:link w:val="899"/>
    <w:rPr>
      <w:sz w:val="26"/>
      <w:szCs w:val="20"/>
    </w:rPr>
  </w:style>
  <w:style w:type="paragraph" w:styleId="885">
    <w:name w:val="Body Text Indent"/>
    <w:basedOn w:val="703"/>
    <w:link w:val="897"/>
    <w:pPr>
      <w:ind w:firstLine="360"/>
    </w:pPr>
    <w:rPr>
      <w:sz w:val="26"/>
      <w:szCs w:val="20"/>
    </w:rPr>
  </w:style>
  <w:style w:type="paragraph" w:styleId="886">
    <w:name w:val="Body Text Indent 2"/>
    <w:basedOn w:val="703"/>
    <w:link w:val="898"/>
    <w:pPr>
      <w:ind w:firstLine="709"/>
      <w:jc w:val="both"/>
    </w:pPr>
    <w:rPr>
      <w:sz w:val="28"/>
      <w:szCs w:val="20"/>
    </w:rPr>
  </w:style>
  <w:style w:type="paragraph" w:styleId="887" w:customStyle="1">
    <w:name w:val="ConsPlusNonformat"/>
    <w:rPr>
      <w:rFonts w:ascii="Courier New" w:hAnsi="Courier New" w:cs="Courier New"/>
    </w:rPr>
  </w:style>
  <w:style w:type="character" w:styleId="888" w:customStyle="1">
    <w:name w:val="Основной текст Знак"/>
    <w:basedOn w:val="713"/>
    <w:link w:val="882"/>
    <w:rPr>
      <w:rFonts w:cs="Times New Roman"/>
      <w:sz w:val="28"/>
      <w:lang w:val="ru-RU" w:eastAsia="ru-RU" w:bidi="ar-SA"/>
    </w:rPr>
  </w:style>
  <w:style w:type="character" w:styleId="889">
    <w:name w:val="Hyperlink"/>
    <w:basedOn w:val="713"/>
    <w:rPr>
      <w:rFonts w:cs="Times New Roman"/>
      <w:color w:val="0000ff"/>
      <w:u w:val="single"/>
    </w:rPr>
  </w:style>
  <w:style w:type="paragraph" w:styleId="890">
    <w:name w:val="Balloon Text"/>
    <w:basedOn w:val="703"/>
    <w:semiHidden/>
    <w:rPr>
      <w:rFonts w:ascii="Tahoma" w:hAnsi="Tahoma" w:cs="Tahoma"/>
      <w:sz w:val="16"/>
      <w:szCs w:val="16"/>
    </w:rPr>
  </w:style>
  <w:style w:type="paragraph" w:styleId="891" w:customStyle="1">
    <w:name w:val="ConsPlusNormal"/>
    <w:pPr>
      <w:ind w:firstLine="720"/>
    </w:pPr>
    <w:rPr>
      <w:rFonts w:ascii="Arial" w:hAnsi="Arial" w:cs="Arial"/>
    </w:rPr>
  </w:style>
  <w:style w:type="paragraph" w:styleId="892" w:customStyle="1">
    <w:name w:val="Style3"/>
    <w:basedOn w:val="703"/>
    <w:pPr>
      <w:ind w:firstLine="706"/>
      <w:jc w:val="both"/>
      <w:spacing w:line="322" w:lineRule="exact"/>
      <w:widowControl w:val="off"/>
    </w:pPr>
  </w:style>
  <w:style w:type="character" w:styleId="893" w:customStyle="1">
    <w:name w:val="Font Style11"/>
    <w:basedOn w:val="713"/>
    <w:rPr>
      <w:rFonts w:ascii="Times New Roman" w:hAnsi="Times New Roman" w:cs="Times New Roman"/>
      <w:b/>
      <w:bCs/>
      <w:sz w:val="26"/>
      <w:szCs w:val="26"/>
    </w:rPr>
  </w:style>
  <w:style w:type="character" w:styleId="894" w:customStyle="1">
    <w:name w:val="Font Style12"/>
    <w:basedOn w:val="713"/>
    <w:rPr>
      <w:rFonts w:ascii="Times New Roman" w:hAnsi="Times New Roman" w:cs="Times New Roman"/>
      <w:sz w:val="26"/>
      <w:szCs w:val="26"/>
    </w:rPr>
  </w:style>
  <w:style w:type="character" w:styleId="895" w:customStyle="1">
    <w:name w:val="Основной текст + Полужирный"/>
    <w:basedOn w:val="713"/>
    <w:rPr>
      <w:rFonts w:ascii="Times New Roman" w:hAnsi="Times New Roman" w:cs="Times New Roman"/>
      <w:b/>
      <w:bCs/>
      <w:spacing w:val="0"/>
      <w:sz w:val="18"/>
      <w:szCs w:val="18"/>
    </w:rPr>
  </w:style>
  <w:style w:type="character" w:styleId="896" w:customStyle="1">
    <w:name w:val="Заголовок Знак"/>
    <w:basedOn w:val="713"/>
    <w:link w:val="880"/>
    <w:uiPriority w:val="99"/>
    <w:rPr>
      <w:rFonts w:cs="Times New Roman"/>
      <w:bCs/>
      <w:sz w:val="24"/>
    </w:rPr>
  </w:style>
  <w:style w:type="character" w:styleId="897" w:customStyle="1">
    <w:name w:val="Основной текст с отступом Знак"/>
    <w:basedOn w:val="713"/>
    <w:link w:val="885"/>
    <w:rPr>
      <w:rFonts w:cs="Times New Roman"/>
      <w:sz w:val="26"/>
    </w:rPr>
  </w:style>
  <w:style w:type="character" w:styleId="898" w:customStyle="1">
    <w:name w:val="Основной текст с отступом 2 Знак"/>
    <w:basedOn w:val="713"/>
    <w:link w:val="886"/>
    <w:rPr>
      <w:rFonts w:cs="Times New Roman"/>
      <w:sz w:val="28"/>
    </w:rPr>
  </w:style>
  <w:style w:type="character" w:styleId="899" w:customStyle="1">
    <w:name w:val="Основной текст 2 Знак"/>
    <w:link w:val="884"/>
    <w:rPr>
      <w:sz w:val="26"/>
    </w:rPr>
  </w:style>
  <w:style w:type="paragraph" w:styleId="900" w:customStyle="1">
    <w:name w:val="Без интервала1"/>
    <w:rPr>
      <w:rFonts w:ascii="Calibri" w:hAnsi="Calibri"/>
      <w:sz w:val="22"/>
      <w:szCs w:val="22"/>
      <w:lang w:eastAsia="en-US"/>
    </w:rPr>
  </w:style>
  <w:style w:type="paragraph" w:styleId="901" w:customStyle="1">
    <w:name w:val="Абзац списка1"/>
    <w:basedOn w:val="703"/>
    <w:pPr>
      <w:ind w:left="720"/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902" w:customStyle="1">
    <w:name w:val="s_13"/>
    <w:basedOn w:val="703"/>
    <w:pPr>
      <w:ind w:firstLine="720"/>
    </w:pPr>
  </w:style>
  <w:style w:type="paragraph" w:styleId="903" w:customStyle="1">
    <w:name w:val="Без интервала1"/>
    <w:rPr>
      <w:rFonts w:ascii="Calibri" w:hAnsi="Calibri"/>
      <w:sz w:val="22"/>
      <w:szCs w:val="22"/>
      <w:lang w:eastAsia="en-US"/>
    </w:rPr>
  </w:style>
  <w:style w:type="paragraph" w:styleId="904" w:customStyle="1">
    <w:name w:val="Без интервала2"/>
    <w:rPr>
      <w:rFonts w:ascii="Calibri" w:hAnsi="Calibri"/>
      <w:sz w:val="22"/>
      <w:szCs w:val="22"/>
      <w:lang w:eastAsia="en-US"/>
    </w:rPr>
  </w:style>
  <w:style w:type="paragraph" w:styleId="905">
    <w:name w:val="Body Text 3"/>
    <w:basedOn w:val="703"/>
    <w:link w:val="906"/>
    <w:pPr>
      <w:spacing w:after="120"/>
    </w:pPr>
    <w:rPr>
      <w:sz w:val="16"/>
      <w:szCs w:val="16"/>
    </w:rPr>
  </w:style>
  <w:style w:type="character" w:styleId="906" w:customStyle="1">
    <w:name w:val="Основной текст 3 Знак"/>
    <w:basedOn w:val="713"/>
    <w:link w:val="905"/>
    <w:rPr>
      <w:sz w:val="16"/>
      <w:szCs w:val="16"/>
    </w:rPr>
  </w:style>
  <w:style w:type="paragraph" w:styleId="907">
    <w:name w:val="List Paragraph"/>
    <w:basedOn w:val="703"/>
    <w:link w:val="913"/>
    <w:uiPriority w:val="34"/>
    <w:qFormat/>
    <w:pPr>
      <w:contextualSpacing/>
      <w:ind w:left="720"/>
    </w:pPr>
  </w:style>
  <w:style w:type="paragraph" w:styleId="908">
    <w:name w:val="Caption"/>
    <w:basedOn w:val="703"/>
    <w:next w:val="703"/>
    <w:link w:val="737"/>
    <w:semiHidden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table" w:styleId="909">
    <w:name w:val="Table Grid"/>
    <w:basedOn w:val="714"/>
    <w:uiPriority w:val="59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10" w:customStyle="1">
    <w:name w:val="Термин"/>
    <w:basedOn w:val="703"/>
    <w:pPr>
      <w:ind w:left="567"/>
      <w:jc w:val="both"/>
      <w:spacing w:line="100" w:lineRule="atLeast"/>
    </w:pPr>
    <w:rPr>
      <w:rFonts w:cs="Courier New"/>
      <w:sz w:val="26"/>
      <w:szCs w:val="20"/>
      <w:lang w:eastAsia="ar-SA"/>
    </w:rPr>
  </w:style>
  <w:style w:type="character" w:styleId="911" w:customStyle="1">
    <w:name w:val="WW8Num1z0"/>
  </w:style>
  <w:style w:type="character" w:styleId="912" w:customStyle="1">
    <w:name w:val="Основной шрифт абзаца1"/>
  </w:style>
  <w:style w:type="character" w:styleId="913" w:customStyle="1">
    <w:name w:val="Абзац списка Знак"/>
    <w:link w:val="907"/>
    <w:uiPriority w:val="34"/>
    <w:rPr>
      <w:sz w:val="24"/>
      <w:szCs w:val="24"/>
    </w:rPr>
  </w:style>
  <w:style w:type="character" w:styleId="914">
    <w:name w:val="Strong"/>
    <w:basedOn w:val="713"/>
    <w:uiPriority w:val="22"/>
    <w:qFormat/>
    <w:rPr>
      <w:b/>
      <w:bCs/>
    </w:rPr>
  </w:style>
  <w:style w:type="character" w:styleId="915">
    <w:name w:val="Emphasis"/>
    <w:uiPriority w:val="20"/>
    <w:qFormat/>
    <w:rPr>
      <w:rFonts w:cs="Times New Roman"/>
      <w:i/>
      <w:iCs/>
    </w:rPr>
  </w:style>
  <w:style w:type="paragraph" w:styleId="916">
    <w:name w:val="Normal (Web)"/>
    <w:basedOn w:val="703"/>
    <w:uiPriority w:val="99"/>
    <w:semiHidden/>
    <w:unhideWhenUsed/>
    <w:pPr>
      <w:spacing w:before="100" w:beforeAutospacing="1" w:after="100" w:afterAutospacing="1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http://sberbank-ast.ru" TargetMode="External"/><Relationship Id="rId11" Type="http://schemas.openxmlformats.org/officeDocument/2006/relationships/hyperlink" Target="http://sberbank-ast.ru" TargetMode="External"/><Relationship Id="rId12" Type="http://schemas.openxmlformats.org/officeDocument/2006/relationships/hyperlink" Target="mailto:info@sberbank-ast.ru" TargetMode="External"/><Relationship Id="rId13" Type="http://schemas.openxmlformats.org/officeDocument/2006/relationships/hyperlink" Target="http://sberbank-ast.ru" TargetMode="External"/><Relationship Id="rId14" Type="http://schemas.openxmlformats.org/officeDocument/2006/relationships/hyperlink" Target="consultantplus://offline/ref=FC846897312E2BD4721B2384DBE8A58C3C2A4FAB97764E8E4F2A57D7AE78929A029A8F6F69D38F281FBB3293FE6B28B11F6A190F67i3U6J" TargetMode="External"/><Relationship Id="rId15" Type="http://schemas.openxmlformats.org/officeDocument/2006/relationships/hyperlink" Target="consultantplus://offline/ref=FC846897312E2BD4721B2384DBE8A58C3C2A4FAB97764E8E4F2A57D7AE78929A029A8F6F68DA8F281FBB3293FE6B28B11F6A190F67i3U6J" TargetMode="External"/><Relationship Id="rId16" Type="http://schemas.openxmlformats.org/officeDocument/2006/relationships/hyperlink" Target="consultantplus://offline/ref=FC846897312E2BD4721B2384DBE8A58C3C2A4FAB97764E8E4F2A57D7AE78929A029A8F6E61D88F281FBB3293FE6B28B11F6A190F67i3U6J" TargetMode="External"/><Relationship Id="rId17" Type="http://schemas.openxmlformats.org/officeDocument/2006/relationships/hyperlink" Target="consultantplus://offline/ref=FC846897312E2BD4721B2384DBE8A58C3C2A4FAB97764E8E4F2A57D7AE78929A029A8F6861DB867F4CF433CFB83E3BB21F6A1A0F7B362CD9iBU9J" TargetMode="External"/><Relationship Id="rId18" Type="http://schemas.openxmlformats.org/officeDocument/2006/relationships/hyperlink" Target="http://sberbank-ast.ru" TargetMode="External"/><Relationship Id="rId19" Type="http://schemas.openxmlformats.org/officeDocument/2006/relationships/hyperlink" Target="http://sberbank-ast.ru" TargetMode="External"/><Relationship Id="rId20" Type="http://schemas.openxmlformats.org/officeDocument/2006/relationships/hyperlink" Target="http://sberbank-ast.ru" TargetMode="External"/><Relationship Id="rId21" Type="http://schemas.openxmlformats.org/officeDocument/2006/relationships/hyperlink" Target="consultantplus://offline/ref=ACBC04675D45A7319E4896355D993A4826746042F3CB2CBB1E8429029F34B456AD46430754CDA9B6A2FD79FD81QEfFJ" TargetMode="External"/><Relationship Id="rId22" Type="http://schemas.openxmlformats.org/officeDocument/2006/relationships/hyperlink" Target="http://sberbank-ast.ru" TargetMode="External"/><Relationship Id="rId23" Type="http://schemas.openxmlformats.org/officeDocument/2006/relationships/hyperlink" Target="http://www.mio.irkobl.ru" TargetMode="External"/><Relationship Id="rId24" Type="http://schemas.openxmlformats.org/officeDocument/2006/relationships/hyperlink" Target="consultantplus://offline/ref=FC846897312E2BD4721B2384DBE8A58C3C2A4FAB97764E8E4F2A57D7AE78929A029A8F6F69D38F281FBB3293FE6B28B11F6A190F67i3U6J" TargetMode="External"/><Relationship Id="rId25" Type="http://schemas.openxmlformats.org/officeDocument/2006/relationships/hyperlink" Target="consultantplus://offline/ref=FC846897312E2BD4721B2384DBE8A58C3C2A4FAB97764E8E4F2A57D7AE78929A029A8F6F68DA8F281FBB3293FE6B28B11F6A190F67i3U6J" TargetMode="External"/><Relationship Id="rId26" Type="http://schemas.openxmlformats.org/officeDocument/2006/relationships/hyperlink" Target="consultantplus://offline/ref=FC846897312E2BD4721B2384DBE8A58C3C2A4FAB97764E8E4F2A57D7AE78929A029A8F6E61D88F281FBB3293FE6B28B11F6A190F67i3U6J" TargetMode="External"/><Relationship Id="rId27" Type="http://schemas.openxmlformats.org/officeDocument/2006/relationships/hyperlink" Target="consultantplus://offline/ref=FC846897312E2BD4721B2384DBE8A58C3C2A4FAB97764E8E4F2A57D7AE78929A029A8F6861DB867F4CF433CFB83E3BB21F6A1A0F7B362CD9iBU9J" TargetMode="External"/><Relationship Id="rId28" Type="http://schemas.openxmlformats.org/officeDocument/2006/relationships/hyperlink" Target="http://www.mio.irkobl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E833DF-369C-467C-B2A4-362BCFC68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Организация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s.cherepanova</cp:lastModifiedBy>
  <cp:revision>47</cp:revision>
  <dcterms:created xsi:type="dcterms:W3CDTF">2025-08-05T03:08:00Z</dcterms:created>
  <dcterms:modified xsi:type="dcterms:W3CDTF">2026-09-15T02:18:06Z</dcterms:modified>
</cp:coreProperties>
</file>