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 xml:space="preserve">ИЗВЕЩЕНИЕ О ВОЗОБНОВЛЕНИИ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на пр</w:t>
      </w:r>
      <w:r>
        <w:rPr>
          <w:b/>
          <w:bCs/>
          <w:sz w:val="26"/>
          <w:szCs w:val="26"/>
        </w:rPr>
        <w:t xml:space="preserve">аво заключения договора аренды </w:t>
      </w:r>
      <w:r>
        <w:rPr>
          <w:b/>
          <w:bCs/>
          <w:sz w:val="26"/>
          <w:szCs w:val="26"/>
        </w:rPr>
        <w:t xml:space="preserve">земельного участка.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540"/>
        <w:jc w:val="center"/>
        <w:rPr>
          <w:sz w:val="26"/>
          <w:szCs w:val="26"/>
        </w:rPr>
      </w:pPr>
      <w:r>
        <w:rPr>
          <w:bCs/>
          <w:sz w:val="26"/>
          <w:szCs w:val="26"/>
        </w:rPr>
        <w:t xml:space="preserve">(размещено на торговой</w:t>
      </w:r>
      <w:r>
        <w:rPr>
          <w:bCs/>
          <w:sz w:val="26"/>
          <w:szCs w:val="26"/>
        </w:rPr>
        <w:t xml:space="preserve"> электронной </w:t>
      </w:r>
      <w:r>
        <w:rPr>
          <w:bCs/>
          <w:sz w:val="26"/>
          <w:szCs w:val="26"/>
        </w:rPr>
        <w:t xml:space="preserve"> площадке  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.ru</w:t>
        </w:r>
      </w:hyperlink>
      <w:r>
        <w:rPr>
          <w:bCs/>
          <w:color w:val="1c1c1c"/>
          <w:sz w:val="26"/>
          <w:szCs w:val="26"/>
        </w:rPr>
        <w:t xml:space="preserve"> 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 и  на</w:t>
      </w:r>
      <w:r>
        <w:rPr>
          <w:rStyle w:val="868"/>
          <w:color w:val="0070c0"/>
          <w:sz w:val="26"/>
          <w:szCs w:val="26"/>
          <w:u w:val="none"/>
        </w:rPr>
        <w:t xml:space="preserve"> </w:t>
      </w:r>
      <w:r>
        <w:rPr>
          <w:bCs/>
          <w:sz w:val="26"/>
          <w:szCs w:val="26"/>
        </w:rPr>
        <w:t xml:space="preserve">сайтах  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color w:val="000000"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</w:rPr>
        <w:t xml:space="preserve">, www.mio.irkobl.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Уполномоченный орган, решение о проведении аукциона, организатор аукциона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left="0" w:right="0" w:firstLine="709"/>
        <w:jc w:val="both"/>
        <w:rPr>
          <w:b w:val="0"/>
          <w:bCs w:val="0"/>
          <w:sz w:val="26"/>
          <w:szCs w:val="26"/>
        </w:rPr>
      </w:pP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  <w:t xml:space="preserve">Орг</w:t>
      </w:r>
      <w:r>
        <w:rPr>
          <w:b w:val="0"/>
          <w:bCs w:val="0"/>
          <w:sz w:val="26"/>
          <w:szCs w:val="26"/>
          <w:highlight w:val="none"/>
        </w:rPr>
        <w:t xml:space="preserve">анизатор аукциона - областное государственное казенное учреждение «Фонд имущества Иркутской области» сообщает о возобновлении приема заявок на участие в аукционе (приостановленном в соответствии с уведомлением от 23.09.2026г. №038/1033/26 Иркутского УФАС) </w:t>
      </w:r>
      <w:r>
        <w:rPr>
          <w:b w:val="0"/>
          <w:bCs w:val="0"/>
          <w:sz w:val="26"/>
          <w:szCs w:val="26"/>
          <w:highlight w:val="none"/>
        </w:rPr>
        <w:t xml:space="preserve"> и переносе  даты проведения аукциона по извещению №22000147190000000347 назначенного на 06.10.2026 на сайте  www.torgi.gov.ru.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</w:rPr>
      </w:r>
    </w:p>
    <w:p>
      <w:pPr>
        <w:pStyle w:val="886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распоряжени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Правительства Иркутской области от </w:t>
      </w:r>
      <w:r>
        <w:rPr>
          <w:sz w:val="26"/>
          <w:szCs w:val="26"/>
        </w:rPr>
        <w:t xml:space="preserve">06.02.2026</w:t>
      </w:r>
      <w:r>
        <w:rPr>
          <w:sz w:val="26"/>
          <w:szCs w:val="26"/>
        </w:rPr>
        <w:t xml:space="preserve"> № 66-рп</w:t>
      </w:r>
      <w:r>
        <w:rPr>
          <w:sz w:val="26"/>
          <w:szCs w:val="26"/>
        </w:rPr>
        <w:t xml:space="preserve"> «О проведении аукцион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на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земельного</w:t>
      </w:r>
      <w:r>
        <w:rPr>
          <w:sz w:val="26"/>
          <w:szCs w:val="26"/>
        </w:rPr>
        <w:t xml:space="preserve"> участка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</w:t>
      </w:r>
      <w:r>
        <w:rPr>
          <w:sz w:val="26"/>
          <w:szCs w:val="26"/>
        </w:rPr>
        <w:t xml:space="preserve"> (далее - организатор аукциона)</w:t>
      </w:r>
      <w:r>
        <w:rPr>
          <w:sz w:val="26"/>
          <w:szCs w:val="26"/>
        </w:rPr>
        <w:t xml:space="preserve"> повторно подготови</w:t>
      </w:r>
      <w:r>
        <w:rPr>
          <w:sz w:val="26"/>
          <w:szCs w:val="26"/>
        </w:rPr>
        <w:t xml:space="preserve">ло </w:t>
      </w:r>
      <w:r>
        <w:rPr>
          <w:sz w:val="26"/>
          <w:szCs w:val="26"/>
        </w:rPr>
        <w:t xml:space="preserve">аукцион в электронной форме </w:t>
      </w:r>
      <w:r>
        <w:rPr>
          <w:sz w:val="26"/>
          <w:szCs w:val="26"/>
        </w:rPr>
        <w:t xml:space="preserve">на право заключения договора аренды земельного участка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является открытым </w:t>
      </w:r>
      <w:r>
        <w:rPr>
          <w:color w:val="000000"/>
          <w:sz w:val="26"/>
          <w:szCs w:val="26"/>
        </w:rPr>
        <w:t xml:space="preserve">по составу участников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39"/>
        <w:spacing w:after="0"/>
      </w:pPr>
      <w:r>
        <w:rPr>
          <w:sz w:val="26"/>
          <w:szCs w:val="26"/>
        </w:rPr>
      </w:r>
      <w:r>
        <w:rPr>
          <w:sz w:val="26"/>
          <w:szCs w:val="26"/>
          <w:lang w:val="ru-RU"/>
        </w:rPr>
        <w:t xml:space="preserve">Согласно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 xml:space="preserve">пункту 10 статьи 39.11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РФ участниками аукциона могут являться только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граждане (Извещение от 07.08</w:t>
      </w:r>
      <w:r>
        <w:rPr>
          <w:sz w:val="26"/>
          <w:szCs w:val="26"/>
        </w:rPr>
        <w:t xml:space="preserve">.2025 № 21000019000000000574).</w:t>
      </w:r>
      <w:r>
        <w:rPr>
          <w:sz w:val="26"/>
          <w:szCs w:val="26"/>
        </w:rPr>
        <w:t xml:space="preserve"> Участниками аукциона, проводимого в случае, предусмотренном пунктом 7 статьи 39.18 настоящего Земельного Кодекса РФ, могут являться только граждане.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 участию в электронном аукционе допускаются физические лица,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ru-RU"/>
        </w:rPr>
      </w:r>
      <w:r/>
    </w:p>
    <w:p>
      <w:pPr>
        <w:pStyle w:val="861"/>
        <w:ind w:firstLine="539"/>
        <w:spacing w:after="0"/>
        <w:rPr>
          <w:sz w:val="26"/>
          <w:szCs w:val="26"/>
        </w:rPr>
      </w:pPr>
      <w:r>
        <w:rPr>
          <w:sz w:val="26"/>
          <w:szCs w:val="26"/>
        </w:rPr>
      </w:r>
      <w:r>
        <w:rPr>
          <w:b/>
          <w:bCs/>
          <w:color w:val="1c1c1c"/>
          <w:sz w:val="26"/>
          <w:szCs w:val="26"/>
        </w:rPr>
        <w:t xml:space="preserve">Н</w:t>
      </w:r>
      <w:r>
        <w:rPr>
          <w:b/>
          <w:bCs/>
          <w:color w:val="1c1c1c"/>
          <w:sz w:val="26"/>
          <w:szCs w:val="26"/>
        </w:rPr>
        <w:t xml:space="preserve">аименование электронной площадки</w:t>
      </w:r>
      <w:r>
        <w:rPr>
          <w:b/>
          <w:bCs/>
          <w:color w:val="1c1c1c"/>
          <w:sz w:val="26"/>
          <w:szCs w:val="26"/>
        </w:rPr>
        <w:t xml:space="preserve">,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/>
          <w:bCs/>
          <w:color w:val="1c1c1c"/>
          <w:sz w:val="26"/>
          <w:szCs w:val="26"/>
        </w:rPr>
        <w:t xml:space="preserve">место приема заявок, </w:t>
      </w:r>
      <w:r>
        <w:rPr>
          <w:b/>
          <w:bCs/>
          <w:color w:val="1c1c1c"/>
          <w:sz w:val="26"/>
          <w:szCs w:val="26"/>
        </w:rPr>
        <w:t xml:space="preserve">адрес, телефон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567"/>
        <w:spacing w:after="0"/>
        <w:rPr>
          <w:b/>
          <w:bCs/>
          <w:color w:val="1c1c1c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Оператор электронной площадки – юридическое лицо, зарегистрированное н</w:t>
      </w:r>
      <w:r>
        <w:rPr>
          <w:rFonts w:eastAsia="Calibri"/>
          <w:sz w:val="26"/>
          <w:szCs w:val="26"/>
        </w:rPr>
        <w:t xml:space="preserve">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</w:t>
      </w:r>
      <w:r>
        <w:rPr>
          <w:rFonts w:eastAsia="Calibri"/>
          <w:sz w:val="26"/>
          <w:szCs w:val="26"/>
        </w:rPr>
        <w:t xml:space="preserve">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  <w:r>
        <w:rPr>
          <w:b/>
          <w:bCs/>
          <w:color w:val="1c1c1c"/>
          <w:sz w:val="26"/>
          <w:szCs w:val="26"/>
        </w:rPr>
      </w:r>
      <w:r>
        <w:rPr>
          <w:b/>
          <w:bCs/>
          <w:color w:val="1c1c1c"/>
          <w:sz w:val="26"/>
          <w:szCs w:val="26"/>
        </w:rPr>
      </w:r>
    </w:p>
    <w:p>
      <w:pPr>
        <w:pStyle w:val="861"/>
        <w:numPr>
          <w:ilvl w:val="0"/>
          <w:numId w:val="14"/>
        </w:numPr>
        <w:ind w:left="0" w:firstLine="709"/>
        <w:spacing w:after="0"/>
        <w:rPr>
          <w:bCs/>
          <w:color w:val="1c1c1c"/>
          <w:sz w:val="26"/>
          <w:szCs w:val="26"/>
        </w:rPr>
      </w:pPr>
      <w:r>
        <w:rPr>
          <w:bCs/>
          <w:color w:val="1c1c1c"/>
          <w:sz w:val="26"/>
          <w:szCs w:val="26"/>
        </w:rPr>
        <w:t xml:space="preserve">Наименование:</w:t>
      </w:r>
      <w:r>
        <w:rPr>
          <w:b/>
          <w:bCs/>
          <w:color w:val="1c1c1c"/>
          <w:sz w:val="26"/>
          <w:szCs w:val="26"/>
        </w:rPr>
        <w:t xml:space="preserve"> </w:t>
      </w:r>
      <w:r>
        <w:rPr>
          <w:bCs/>
          <w:color w:val="1c1c1c"/>
          <w:sz w:val="26"/>
          <w:szCs w:val="26"/>
        </w:rPr>
        <w:t xml:space="preserve">Акционерное общество «Сбербанк – Автоматизированная система торгов» (далее АО «Сбербанк-АСТ»)</w:t>
      </w:r>
      <w:r>
        <w:rPr>
          <w:bCs/>
          <w:color w:val="1c1c1c"/>
          <w:sz w:val="26"/>
          <w:szCs w:val="26"/>
        </w:rPr>
      </w:r>
      <w:r>
        <w:rPr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4"/>
        </w:numPr>
        <w:ind w:left="0" w:firstLine="709"/>
        <w:jc w:val="both"/>
        <w:spacing w:line="200" w:lineRule="atLeast"/>
        <w:rPr>
          <w:rStyle w:val="868"/>
          <w:rFonts w:eastAsia="Calibri"/>
          <w:color w:val="auto"/>
          <w:sz w:val="26"/>
          <w:szCs w:val="26"/>
          <w:u w:val="none"/>
        </w:rPr>
      </w:pPr>
      <w:r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1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rFonts w:eastAsia="Calibri"/>
          <w:color w:val="auto"/>
          <w:sz w:val="26"/>
          <w:szCs w:val="26"/>
          <w:u w:val="none"/>
        </w:rPr>
      </w:r>
      <w:r>
        <w:rPr>
          <w:rStyle w:val="868"/>
          <w:rFonts w:eastAsia="Calibri"/>
          <w:color w:val="auto"/>
          <w:sz w:val="26"/>
          <w:szCs w:val="26"/>
          <w:u w:val="none"/>
        </w:rPr>
      </w:r>
    </w:p>
    <w:p>
      <w:pPr>
        <w:pStyle w:val="886"/>
        <w:numPr>
          <w:ilvl w:val="0"/>
          <w:numId w:val="14"/>
        </w:numPr>
        <w:ind w:left="-142" w:firstLine="851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>
        <w:rPr>
          <w:rFonts w:eastAsia="Calibri"/>
          <w:sz w:val="26"/>
          <w:szCs w:val="26"/>
        </w:rPr>
        <w:t xml:space="preserve">стр.,</w:t>
      </w:r>
      <w:r>
        <w:rPr>
          <w:rFonts w:eastAsia="Calibri"/>
          <w:sz w:val="26"/>
          <w:szCs w:val="26"/>
        </w:rPr>
        <w:t xml:space="preserve"> эт.1, пом. 1, комн.2. 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Адрес электронной почты: </w:t>
      </w:r>
      <w:hyperlink r:id="rId12" w:tooltip="mailto:info@sberbank-ast.ru" w:history="1">
        <w:r>
          <w:rPr>
            <w:rStyle w:val="868"/>
            <w:rFonts w:eastAsia="Calibri"/>
            <w:sz w:val="26"/>
            <w:szCs w:val="26"/>
            <w:lang w:val="en-US"/>
          </w:rPr>
          <w:t xml:space="preserve">info</w:t>
        </w:r>
        <w:r>
          <w:rPr>
            <w:rStyle w:val="868"/>
            <w:rFonts w:eastAsia="Calibri"/>
            <w:sz w:val="26"/>
            <w:szCs w:val="26"/>
          </w:rPr>
          <w:t xml:space="preserve">@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sberbank</w:t>
        </w:r>
        <w:r>
          <w:rPr>
            <w:rStyle w:val="868"/>
            <w:rFonts w:eastAsia="Calibri"/>
            <w:sz w:val="26"/>
            <w:szCs w:val="26"/>
          </w:rPr>
          <w:t xml:space="preserve">-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ast</w:t>
        </w:r>
        <w:r>
          <w:rPr>
            <w:rStyle w:val="868"/>
            <w:rFonts w:eastAsia="Calibri"/>
            <w:sz w:val="26"/>
            <w:szCs w:val="26"/>
          </w:rPr>
          <w:t xml:space="preserve">.</w:t>
        </w:r>
        <w:r>
          <w:rPr>
            <w:rStyle w:val="868"/>
            <w:rFonts w:eastAsia="Calibri"/>
            <w:sz w:val="26"/>
            <w:szCs w:val="26"/>
            <w:lang w:val="en-US"/>
          </w:rPr>
          <w:t xml:space="preserve">ru</w:t>
        </w:r>
      </w:hyperlink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8"/>
        <w:rPr>
          <w:rFonts w:eastAsiaTheme="minorEastAsia"/>
          <w:sz w:val="26"/>
          <w:szCs w:val="26"/>
        </w:rPr>
      </w:pPr>
      <w:r>
        <w:rPr>
          <w:rFonts w:eastAsia="Calibri"/>
          <w:sz w:val="26"/>
          <w:szCs w:val="26"/>
        </w:rPr>
        <w:t xml:space="preserve">Телефон: </w:t>
      </w:r>
      <w:r>
        <w:rPr>
          <w:rFonts w:eastAsiaTheme="minorEastAsia"/>
          <w:sz w:val="26"/>
          <w:szCs w:val="26"/>
        </w:rPr>
        <w:t xml:space="preserve">+7 (495) 787-29-97, +7 (495) 787-29-99, +7 (495) 539-59-21, доб. «29»</w:t>
      </w:r>
      <w:r>
        <w:rPr>
          <w:rFonts w:eastAsiaTheme="minorEastAsia"/>
          <w:sz w:val="26"/>
          <w:szCs w:val="26"/>
        </w:rPr>
      </w:r>
      <w:r>
        <w:rPr>
          <w:rFonts w:eastAsiaTheme="minorEastAsia"/>
          <w:sz w:val="26"/>
          <w:szCs w:val="26"/>
        </w:rPr>
      </w:r>
    </w:p>
    <w:p>
      <w:pPr>
        <w:pStyle w:val="861"/>
        <w:numPr>
          <w:ilvl w:val="0"/>
          <w:numId w:val="12"/>
        </w:numPr>
        <w:ind w:left="0"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Сроки подачи (приема) заявок, определения участников и проведения</w:t>
      </w:r>
      <w:r>
        <w:rPr>
          <w:b/>
          <w:bCs/>
          <w:sz w:val="26"/>
          <w:szCs w:val="26"/>
        </w:rPr>
        <w:t xml:space="preserve"> электронного 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1</w:t>
      </w:r>
      <w:r>
        <w:rPr>
          <w:rFonts w:eastAsia="Calibri"/>
          <w:sz w:val="26"/>
          <w:szCs w:val="26"/>
        </w:rPr>
        <w:t xml:space="preserve">) Дата и время начала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1</w:t>
      </w:r>
      <w:r>
        <w:rPr>
          <w:rFonts w:eastAsia="Calibri"/>
          <w:b/>
          <w:bCs/>
          <w:sz w:val="26"/>
          <w:szCs w:val="26"/>
        </w:rPr>
        <w:t xml:space="preserve">7</w:t>
      </w:r>
      <w:r>
        <w:rPr>
          <w:rFonts w:eastAsia="Calibri"/>
          <w:b/>
          <w:bCs/>
          <w:sz w:val="26"/>
          <w:szCs w:val="26"/>
        </w:rPr>
        <w:t xml:space="preserve">.10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026</w:t>
      </w:r>
      <w:r>
        <w:rPr>
          <w:b/>
          <w:sz w:val="26"/>
          <w:szCs w:val="26"/>
        </w:rPr>
        <w:t xml:space="preserve"> года </w:t>
      </w:r>
      <w:r>
        <w:rPr>
          <w:b/>
          <w:sz w:val="26"/>
          <w:szCs w:val="26"/>
        </w:rPr>
        <w:t xml:space="preserve">в </w:t>
      </w:r>
      <w:r>
        <w:rPr>
          <w:b/>
          <w:sz w:val="26"/>
          <w:szCs w:val="26"/>
        </w:rPr>
        <w:t xml:space="preserve">10</w:t>
      </w:r>
      <w:r>
        <w:rPr>
          <w:b/>
          <w:sz w:val="26"/>
          <w:szCs w:val="26"/>
        </w:rPr>
        <w:t xml:space="preserve"> час. 00 мин. </w:t>
      </w:r>
      <w:r>
        <w:rPr>
          <w:rFonts w:eastAsia="Calibri"/>
          <w:sz w:val="26"/>
          <w:szCs w:val="26"/>
        </w:rPr>
        <w:t xml:space="preserve">по местному времени. </w:t>
      </w:r>
      <w:r>
        <w:rPr>
          <w:rFonts w:eastAsia="Calibri"/>
          <w:sz w:val="26"/>
          <w:szCs w:val="26"/>
        </w:rPr>
        <w:t xml:space="preserve">Подача заявок осуществляется круглосуточно.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2</w:t>
      </w:r>
      <w:r>
        <w:rPr>
          <w:rFonts w:eastAsia="Calibri"/>
          <w:sz w:val="26"/>
          <w:szCs w:val="26"/>
        </w:rPr>
        <w:t xml:space="preserve">) Дата и время окончания подачи (приема) заявок: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0</w:t>
      </w:r>
      <w:r>
        <w:rPr>
          <w:rFonts w:eastAsia="Calibri"/>
          <w:b/>
          <w:bCs/>
          <w:sz w:val="26"/>
          <w:szCs w:val="26"/>
        </w:rPr>
        <w:t xml:space="preserve">1</w:t>
      </w:r>
      <w:r>
        <w:rPr>
          <w:rFonts w:eastAsia="Calibri"/>
          <w:b/>
          <w:bCs/>
          <w:sz w:val="26"/>
          <w:szCs w:val="26"/>
        </w:rPr>
        <w:t xml:space="preserve">.1</w:t>
      </w:r>
      <w:r>
        <w:rPr>
          <w:rFonts w:eastAsia="Calibri"/>
          <w:b/>
          <w:bCs/>
          <w:sz w:val="26"/>
          <w:szCs w:val="26"/>
        </w:rPr>
        <w:t xml:space="preserve">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года</w:t>
      </w:r>
      <w:r>
        <w:rPr>
          <w:rFonts w:eastAsia="Calibri"/>
          <w:b/>
          <w:sz w:val="26"/>
          <w:szCs w:val="26"/>
        </w:rPr>
        <w:t xml:space="preserve"> в </w:t>
      </w:r>
      <w:r>
        <w:rPr>
          <w:rFonts w:eastAsia="Calibri"/>
          <w:b/>
          <w:sz w:val="26"/>
          <w:szCs w:val="26"/>
        </w:rPr>
        <w:t xml:space="preserve">10</w:t>
      </w:r>
      <w:r>
        <w:rPr>
          <w:rFonts w:eastAsia="Calibri"/>
          <w:b/>
          <w:sz w:val="26"/>
          <w:szCs w:val="26"/>
        </w:rPr>
        <w:t xml:space="preserve"> час. 00 мин.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b/>
          <w:sz w:val="26"/>
          <w:szCs w:val="26"/>
        </w:rPr>
      </w:pPr>
      <w:r>
        <w:rPr>
          <w:rFonts w:eastAsia="Calibri"/>
          <w:sz w:val="26"/>
          <w:szCs w:val="26"/>
        </w:rPr>
        <w:t xml:space="preserve">3</w:t>
      </w:r>
      <w:r>
        <w:rPr>
          <w:rFonts w:eastAsia="Calibri"/>
          <w:sz w:val="26"/>
          <w:szCs w:val="26"/>
        </w:rPr>
        <w:t xml:space="preserve">) Дата рассмотрения заявок: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0</w:t>
      </w:r>
      <w:r>
        <w:rPr>
          <w:rFonts w:eastAsia="Calibri"/>
          <w:b/>
          <w:bCs/>
          <w:sz w:val="26"/>
          <w:szCs w:val="26"/>
        </w:rPr>
        <w:t xml:space="preserve">2</w:t>
      </w:r>
      <w:r>
        <w:rPr>
          <w:rFonts w:eastAsia="Calibri"/>
          <w:b/>
          <w:bCs/>
          <w:sz w:val="26"/>
          <w:szCs w:val="26"/>
        </w:rPr>
        <w:t xml:space="preserve">.1</w:t>
      </w:r>
      <w:r>
        <w:rPr>
          <w:rFonts w:eastAsia="Calibri"/>
          <w:b/>
          <w:bCs/>
          <w:sz w:val="26"/>
          <w:szCs w:val="26"/>
        </w:rPr>
        <w:t xml:space="preserve">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  <w:t xml:space="preserve">2026</w:t>
      </w:r>
      <w:r>
        <w:rPr>
          <w:rFonts w:eastAsia="Calibri"/>
          <w:b/>
          <w:sz w:val="26"/>
          <w:szCs w:val="26"/>
        </w:rPr>
        <w:t xml:space="preserve"> года</w:t>
      </w:r>
      <w:r>
        <w:rPr>
          <w:rFonts w:eastAsia="Calibri"/>
          <w:b/>
          <w:sz w:val="26"/>
          <w:szCs w:val="26"/>
        </w:rPr>
        <w:t xml:space="preserve">.</w:t>
      </w: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ind w:firstLine="709"/>
        <w:jc w:val="both"/>
        <w:spacing w:line="200" w:lineRule="atLeast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4</w:t>
      </w:r>
      <w:r>
        <w:rPr>
          <w:rFonts w:eastAsia="Calibri"/>
          <w:sz w:val="26"/>
          <w:szCs w:val="26"/>
        </w:rPr>
        <w:t xml:space="preserve">) Дата и время начала проведения </w:t>
      </w:r>
      <w:r>
        <w:rPr>
          <w:rFonts w:eastAsia="Calibri"/>
          <w:sz w:val="26"/>
          <w:szCs w:val="26"/>
        </w:rPr>
        <w:t xml:space="preserve">электронного </w:t>
      </w:r>
      <w:r>
        <w:rPr>
          <w:rFonts w:eastAsia="Calibri"/>
          <w:sz w:val="26"/>
          <w:szCs w:val="26"/>
        </w:rPr>
        <w:t xml:space="preserve">аукциона:</w:t>
      </w:r>
      <w:r>
        <w:rPr>
          <w:rFonts w:eastAsia="Calibri"/>
          <w:sz w:val="26"/>
          <w:szCs w:val="26"/>
        </w:rPr>
        <w:t xml:space="preserve"> </w:t>
      </w:r>
      <w:r>
        <w:rPr>
          <w:rFonts w:eastAsia="Calibri"/>
          <w:b/>
          <w:bCs/>
          <w:sz w:val="26"/>
          <w:szCs w:val="26"/>
        </w:rPr>
        <w:t xml:space="preserve">0</w:t>
      </w:r>
      <w:r>
        <w:rPr>
          <w:rFonts w:eastAsia="Calibri"/>
          <w:b/>
          <w:bCs/>
          <w:sz w:val="26"/>
          <w:szCs w:val="26"/>
        </w:rPr>
        <w:t xml:space="preserve">3</w:t>
      </w:r>
      <w:r>
        <w:rPr>
          <w:rFonts w:eastAsia="Calibri"/>
          <w:b/>
          <w:bCs/>
          <w:sz w:val="26"/>
          <w:szCs w:val="26"/>
        </w:rPr>
        <w:t xml:space="preserve">.1</w:t>
      </w:r>
      <w:r>
        <w:rPr>
          <w:rFonts w:eastAsia="Calibri"/>
          <w:b/>
          <w:bCs/>
          <w:sz w:val="26"/>
          <w:szCs w:val="26"/>
        </w:rPr>
        <w:t xml:space="preserve">1</w:t>
      </w:r>
      <w:r>
        <w:rPr>
          <w:rFonts w:eastAsia="Calibri"/>
          <w:b/>
          <w:bCs/>
          <w:sz w:val="26"/>
          <w:szCs w:val="26"/>
        </w:rPr>
        <w:t xml:space="preserve">.</w:t>
      </w:r>
      <w:r>
        <w:rPr>
          <w:rFonts w:eastAsia="Calibri"/>
          <w:b/>
          <w:bCs/>
          <w:sz w:val="26"/>
          <w:szCs w:val="26"/>
        </w:rPr>
        <w:t xml:space="preserve">2026</w:t>
      </w:r>
      <w:r>
        <w:rPr>
          <w:rFonts w:eastAsia="Calibri"/>
          <w:b/>
          <w:bCs/>
          <w:sz w:val="26"/>
          <w:szCs w:val="26"/>
        </w:rPr>
        <w:t xml:space="preserve"> го</w:t>
      </w:r>
      <w:r>
        <w:rPr>
          <w:rFonts w:eastAsia="Calibri"/>
          <w:b/>
          <w:sz w:val="26"/>
          <w:szCs w:val="26"/>
        </w:rPr>
        <w:t xml:space="preserve">да</w:t>
      </w:r>
      <w:r>
        <w:rPr>
          <w:rFonts w:eastAsia="Calibri"/>
          <w:sz w:val="26"/>
          <w:szCs w:val="26"/>
        </w:rPr>
        <w:t xml:space="preserve"> в </w:t>
      </w:r>
      <w:r>
        <w:rPr>
          <w:rFonts w:eastAsia="Calibri"/>
          <w:b/>
          <w:bCs/>
          <w:sz w:val="26"/>
          <w:szCs w:val="26"/>
        </w:rPr>
        <w:t xml:space="preserve">09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 xml:space="preserve">час. </w:t>
      </w:r>
      <w:r>
        <w:rPr>
          <w:rFonts w:eastAsia="Calibri"/>
          <w:b/>
          <w:sz w:val="26"/>
          <w:szCs w:val="26"/>
        </w:rPr>
        <w:t xml:space="preserve">00</w:t>
      </w:r>
      <w:r>
        <w:rPr>
          <w:rFonts w:eastAsia="Calibri"/>
          <w:b/>
          <w:sz w:val="26"/>
          <w:szCs w:val="26"/>
        </w:rPr>
        <w:t xml:space="preserve"> мин.</w:t>
      </w:r>
      <w:r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 местному времени</w:t>
      </w:r>
      <w:r>
        <w:rPr>
          <w:rFonts w:eastAsia="Calibri"/>
          <w:sz w:val="26"/>
          <w:szCs w:val="26"/>
        </w:rPr>
        <w:t xml:space="preserve"> до последнего предложения участников.</w:t>
      </w:r>
      <w:r>
        <w:rPr>
          <w:rFonts w:eastAsia="Calibri"/>
          <w:sz w:val="26"/>
          <w:szCs w:val="26"/>
        </w:rPr>
      </w:r>
      <w:r>
        <w:rPr>
          <w:rFonts w:eastAsia="Calibri"/>
          <w:sz w:val="26"/>
          <w:szCs w:val="26"/>
        </w:rPr>
      </w:r>
    </w:p>
    <w:p>
      <w:pPr>
        <w:pStyle w:val="85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numPr>
          <w:ilvl w:val="0"/>
          <w:numId w:val="1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Предмет аукциона</w:t>
      </w:r>
      <w:r>
        <w:rPr>
          <w:sz w:val="26"/>
          <w:szCs w:val="26"/>
        </w:rPr>
        <w:t xml:space="preserve"> право заключения договор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 аренды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ind w:firstLine="709"/>
        <w:jc w:val="both"/>
        <w:tabs>
          <w:tab w:val="left" w:pos="540" w:leader="none"/>
          <w:tab w:val="left" w:pos="720" w:leader="none"/>
        </w:tabs>
      </w:pPr>
      <w:r>
        <w:rPr>
          <w:b/>
          <w:sz w:val="26"/>
          <w:szCs w:val="26"/>
        </w:rPr>
        <w:t xml:space="preserve">Характеристика земельного участка: </w:t>
      </w:r>
      <w:r>
        <w:rPr>
          <w:sz w:val="26"/>
          <w:szCs w:val="26"/>
        </w:rPr>
        <w:t xml:space="preserve">земельный участок из земель населённых пунктов </w:t>
      </w:r>
      <w:r>
        <w:rPr>
          <w:sz w:val="26"/>
          <w:szCs w:val="26"/>
        </w:rPr>
        <w:t xml:space="preserve">площадью 2 000 кв.м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кадастровым номером </w:t>
      </w:r>
      <w:r>
        <w:t xml:space="preserve">38:06:080608:494</w:t>
      </w:r>
      <w:r>
        <w:rPr>
          <w:sz w:val="26"/>
          <w:szCs w:val="26"/>
        </w:rPr>
        <w:t xml:space="preserve">, адрес: Российская Федерация, Иркутская область, Иркутский район</w:t>
      </w:r>
      <w:r>
        <w:rPr>
          <w:sz w:val="26"/>
          <w:szCs w:val="26"/>
        </w:rPr>
        <w:t xml:space="preserve">, сельское поселение  Ревякинское, деревня Ревякина.</w:t>
      </w:r>
      <w:r/>
    </w:p>
    <w:p>
      <w:pPr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Право на земельный участок: </w:t>
      </w:r>
      <w:r>
        <w:rPr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ab/>
        <w:t xml:space="preserve">Категория земель: </w:t>
      </w:r>
      <w:r>
        <w:rPr>
          <w:bCs/>
          <w:iCs/>
          <w:sz w:val="26"/>
          <w:szCs w:val="26"/>
        </w:rPr>
        <w:t xml:space="preserve">земли населённых пунктов.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sz w:val="26"/>
          <w:szCs w:val="26"/>
        </w:rPr>
        <w:t xml:space="preserve"> для индивидуального жилищного строительства.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bCs/>
          <w:iCs/>
          <w:sz w:val="26"/>
          <w:szCs w:val="26"/>
        </w:rPr>
        <w:t xml:space="preserve">в</w:t>
      </w:r>
      <w:r>
        <w:rPr>
          <w:sz w:val="26"/>
          <w:szCs w:val="26"/>
        </w:rPr>
        <w:t xml:space="preserve"> соответствии с правилами землепользования и застройки Ревякин</w:t>
      </w:r>
      <w:r>
        <w:rPr>
          <w:sz w:val="26"/>
          <w:szCs w:val="26"/>
        </w:rPr>
        <w:t xml:space="preserve">ского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земельный участок расположен в зоне застройки индивидуальными жилыми домами.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b/>
          <w:iCs/>
          <w:sz w:val="26"/>
          <w:szCs w:val="26"/>
        </w:rPr>
      </w:r>
      <w:r>
        <w:rPr>
          <w:b/>
          <w:iCs/>
          <w:sz w:val="26"/>
          <w:szCs w:val="26"/>
        </w:rPr>
      </w:r>
    </w:p>
    <w:p>
      <w:pPr>
        <w:ind w:firstLine="709"/>
        <w:jc w:val="both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Письмо  филиала АО «ИЭСК» «Восточные электрические сети» «О возможности технологического присоединения к сетям АО «ИЭСК»от 04.09.2025 № 14945</w:t>
      </w:r>
      <w:r>
        <w:rPr>
          <w:sz w:val="26"/>
          <w:szCs w:val="26"/>
        </w:rPr>
        <w:t xml:space="preserve">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</w:pPr>
      <w:r>
        <w:rPr>
          <w:sz w:val="26"/>
          <w:szCs w:val="26"/>
        </w:rPr>
        <w:t xml:space="preserve">По информации  филиала АО «ИЭСК» «Восточные электрические сети» присоединение объекта  к электрическим сетям   возможно путем создания распределительных сетей 0,4-6(10)кВ АО «ИЭСК» от ПС 110/35/10 кВ Черемушки.   </w:t>
      </w:r>
      <w:r>
        <w:rPr>
          <w:sz w:val="26"/>
          <w:szCs w:val="26"/>
        </w:rPr>
      </w:r>
      <w:r/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  <w:highlight w:val="none"/>
        </w:rPr>
        <w:t xml:space="preserve">-</w:t>
      </w:r>
      <w:r>
        <w:rPr>
          <w:sz w:val="26"/>
          <w:szCs w:val="26"/>
          <w:highlight w:val="none"/>
        </w:rPr>
        <w:t xml:space="preserve">Письмо ООО «Южнобайкальское» от 08.08.2025 № 402/25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567" w:leader="none"/>
        </w:tabs>
        <w:rPr>
          <w:b w:val="0"/>
          <w:bCs w:val="0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Дополнительная </w:t>
      </w:r>
      <w:r>
        <w:rPr>
          <w:b/>
          <w:sz w:val="26"/>
          <w:szCs w:val="26"/>
        </w:rPr>
        <w:t xml:space="preserve">информация: </w:t>
      </w:r>
      <w:r>
        <w:rPr>
          <w:b/>
          <w:sz w:val="26"/>
          <w:szCs w:val="26"/>
        </w:rPr>
        <w:t xml:space="preserve">  </w:t>
      </w:r>
      <w:r>
        <w:rPr>
          <w:b w:val="0"/>
          <w:bCs w:val="0"/>
          <w:sz w:val="26"/>
          <w:szCs w:val="26"/>
        </w:rPr>
        <w:t xml:space="preserve">Земельный участок с двух сторон огорожен деревянным забором</w:t>
      </w:r>
      <w:r>
        <w:rPr>
          <w:b w:val="0"/>
          <w:bCs w:val="0"/>
          <w:sz w:val="26"/>
          <w:szCs w:val="26"/>
        </w:rPr>
        <w:t xml:space="preserve">.</w:t>
      </w:r>
      <w:r>
        <w:rPr>
          <w:b w:val="0"/>
          <w:bCs w:val="0"/>
          <w:sz w:val="26"/>
          <w:szCs w:val="26"/>
          <w:highlight w:val="none"/>
        </w:rPr>
      </w:r>
      <w:r>
        <w:rPr>
          <w:b w:val="0"/>
          <w:bCs w:val="0"/>
          <w:sz w:val="26"/>
          <w:szCs w:val="26"/>
          <w:highlight w:val="none"/>
        </w:rPr>
      </w:r>
    </w:p>
    <w:p>
      <w:pPr>
        <w:ind w:firstLine="709"/>
        <w:jc w:val="both"/>
        <w:tabs>
          <w:tab w:val="left" w:pos="567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Срок действия договора аренды: </w:t>
      </w:r>
      <w:r>
        <w:rPr>
          <w:bCs/>
          <w:sz w:val="26"/>
          <w:szCs w:val="26"/>
        </w:rPr>
        <w:t xml:space="preserve">20 лет.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 w:val="0"/>
          <w:bCs w:val="0"/>
          <w:sz w:val="26"/>
          <w:szCs w:val="26"/>
          <w:highlight w:val="white"/>
        </w:rPr>
      </w:pPr>
      <w:r>
        <w:rPr>
          <w:b/>
          <w:bCs/>
          <w:sz w:val="26"/>
          <w:szCs w:val="26"/>
        </w:rPr>
        <w:tab/>
        <w:t xml:space="preserve">Начальный размер годовой арендной платы: 96 840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(Девяносто шесть тысяч восемьсот сорок</w:t>
      </w:r>
      <w:r>
        <w:rPr>
          <w:b w:val="0"/>
          <w:bCs w:val="0"/>
          <w:sz w:val="26"/>
          <w:szCs w:val="26"/>
          <w:highlight w:val="white"/>
        </w:rPr>
        <w:t xml:space="preserve">) рублей.</w:t>
      </w:r>
      <w:r>
        <w:rPr>
          <w:b w:val="0"/>
          <w:bCs w:val="0"/>
          <w:sz w:val="26"/>
          <w:szCs w:val="26"/>
          <w:highlight w:val="white"/>
        </w:rPr>
      </w:r>
      <w:r>
        <w:rPr>
          <w:b w:val="0"/>
          <w:bCs w:val="0"/>
          <w:sz w:val="26"/>
          <w:szCs w:val="26"/>
          <w:highlight w:val="white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highlight w:val="white"/>
        </w:rPr>
        <w:tab/>
        <w:t xml:space="preserve">Шаг аукциона: </w:t>
      </w:r>
      <w:r>
        <w:rPr>
          <w:bCs/>
          <w:sz w:val="26"/>
          <w:szCs w:val="26"/>
          <w:highlight w:val="white"/>
        </w:rPr>
        <w:t xml:space="preserve">3% от начального размера годовой арендной платы в</w:t>
      </w:r>
      <w:r>
        <w:rPr>
          <w:bCs/>
          <w:sz w:val="26"/>
          <w:szCs w:val="26"/>
        </w:rPr>
        <w:t xml:space="preserve"> сумме</w:t>
      </w:r>
      <w:r>
        <w:rPr>
          <w:b/>
          <w:bCs/>
          <w:sz w:val="26"/>
          <w:szCs w:val="26"/>
        </w:rPr>
        <w:t xml:space="preserve"> 2 905,20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(Две тысячи девятьсот пять </w:t>
      </w:r>
      <w:r>
        <w:rPr>
          <w:bCs/>
          <w:sz w:val="26"/>
          <w:szCs w:val="26"/>
        </w:rPr>
        <w:t xml:space="preserve">) рублей 20 копеек.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contextualSpacing/>
        <w:ind w:firstLine="709"/>
        <w:jc w:val="both"/>
        <w:tabs>
          <w:tab w:val="left" w:pos="540" w:leader="none"/>
          <w:tab w:val="left" w:pos="720" w:leader="none"/>
        </w:tabs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Размер задатка: </w:t>
      </w:r>
      <w:r>
        <w:rPr>
          <w:bCs/>
          <w:sz w:val="26"/>
          <w:szCs w:val="26"/>
        </w:rPr>
        <w:t xml:space="preserve">100 % начального размера годовой арендной платы в сумме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96 840</w:t>
      </w:r>
      <w:r>
        <w:rPr>
          <w:b w:val="0"/>
          <w:bCs w:val="0"/>
          <w:sz w:val="26"/>
          <w:szCs w:val="26"/>
          <w:highlight w:val="white"/>
        </w:rPr>
        <w:t xml:space="preserve"> </w:t>
      </w:r>
      <w:r>
        <w:rPr>
          <w:b w:val="0"/>
          <w:bCs w:val="0"/>
          <w:sz w:val="26"/>
          <w:szCs w:val="26"/>
          <w:highlight w:val="white"/>
        </w:rPr>
        <w:t xml:space="preserve">(Девяносто шесть тысяч восемьсот сорок</w:t>
      </w:r>
      <w:r>
        <w:rPr>
          <w:b w:val="0"/>
          <w:bCs w:val="0"/>
          <w:sz w:val="26"/>
          <w:szCs w:val="26"/>
          <w:highlight w:val="white"/>
        </w:rPr>
        <w:t xml:space="preserve">) рублей</w:t>
      </w:r>
      <w:r>
        <w:rPr>
          <w:b w:val="0"/>
          <w:bCs w:val="0"/>
          <w:sz w:val="26"/>
          <w:szCs w:val="26"/>
          <w:highlight w:val="whit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>
        <w:rPr>
          <w:rFonts w:eastAsia="Calibri"/>
          <w:b/>
          <w:bCs/>
          <w:color w:val="1c1c1c"/>
          <w:sz w:val="26"/>
          <w:szCs w:val="26"/>
        </w:rPr>
        <w:t xml:space="preserve">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, </w:t>
      </w:r>
      <w:r>
        <w:rPr>
          <w:rFonts w:eastAsia="Calibri"/>
          <w:b/>
          <w:bCs/>
          <w:color w:val="1c1c1c"/>
          <w:sz w:val="26"/>
          <w:szCs w:val="26"/>
        </w:rPr>
        <w:t xml:space="preserve">внесений изменений в извещение о проведении аукциона</w:t>
      </w:r>
      <w:r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tooltip="8. Земельный участок, находящийся в государственной или муниципальной собственности, не может быть предметом аукциона, если:" w:anchor="P122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39.11 </w:t>
      </w:r>
      <w:r>
        <w:rPr>
          <w:rFonts w:ascii="Times New Roman" w:hAnsi="Times New Roman" w:cs="Times New Roman"/>
          <w:sz w:val="26"/>
          <w:szCs w:val="26"/>
        </w:rPr>
        <w:t xml:space="preserve">Земельного кодекса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</w:t>
      </w:r>
      <w:r>
        <w:rPr>
          <w:sz w:val="26"/>
          <w:szCs w:val="26"/>
        </w:rPr>
        <w:t xml:space="preserve">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</w:t>
      </w:r>
      <w:r>
        <w:rPr>
          <w:sz w:val="26"/>
          <w:szCs w:val="26"/>
        </w:rPr>
        <w:t xml:space="preserve">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ind w:left="0" w:firstLine="851"/>
        <w:jc w:val="both"/>
        <w:spacing w:line="200" w:lineRule="atLeast"/>
        <w:rPr>
          <w:rFonts w:eastAsia="Calibri"/>
          <w:b/>
          <w:bCs/>
          <w:color w:val="1c1c1c"/>
          <w:sz w:val="26"/>
          <w:szCs w:val="26"/>
        </w:rPr>
      </w:pPr>
      <w:r>
        <w:rPr>
          <w:sz w:val="26"/>
          <w:szCs w:val="26"/>
        </w:rPr>
        <w:t xml:space="preserve">В</w:t>
      </w:r>
      <w:r>
        <w:rPr>
          <w:sz w:val="26"/>
          <w:szCs w:val="26"/>
        </w:rPr>
        <w:t xml:space="preserve">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  <w:r>
        <w:rPr>
          <w:rFonts w:eastAsia="Calibri"/>
          <w:b/>
          <w:bCs/>
          <w:color w:val="1c1c1c"/>
          <w:sz w:val="26"/>
          <w:szCs w:val="26"/>
        </w:rPr>
      </w:r>
      <w:r>
        <w:rPr>
          <w:rFonts w:eastAsia="Calibri"/>
          <w:b/>
          <w:bCs/>
          <w:color w:val="1c1c1c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color w:val="000000"/>
          <w:sz w:val="26"/>
          <w:szCs w:val="26"/>
        </w:rPr>
      </w:pPr>
      <w:r>
        <w:rPr>
          <w:rFonts w:eastAsia="Calibri"/>
          <w:b/>
          <w:bCs/>
          <w:color w:val="1c1c1c"/>
          <w:sz w:val="26"/>
          <w:szCs w:val="26"/>
        </w:rPr>
        <w:t xml:space="preserve">Срок и порядок регистрации на электронной площадке</w:t>
      </w:r>
      <w:r>
        <w:rPr>
          <w:rFonts w:cs="Calibri"/>
          <w:b/>
          <w:color w:val="000000"/>
          <w:sz w:val="26"/>
          <w:szCs w:val="26"/>
        </w:rPr>
      </w:r>
      <w:r>
        <w:rPr>
          <w:rFonts w:cs="Calibri"/>
          <w:b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>
        <w:rPr>
          <w:sz w:val="26"/>
          <w:szCs w:val="26"/>
        </w:rPr>
        <w:t xml:space="preserve">электронном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аукционе </w:t>
      </w:r>
      <w:r>
        <w:rPr>
          <w:rFonts w:cs="Calibri"/>
          <w:color w:val="000000"/>
          <w:sz w:val="26"/>
          <w:szCs w:val="26"/>
        </w:rPr>
        <w:t xml:space="preserve">заявителям</w:t>
      </w:r>
      <w:r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>
        <w:rPr>
          <w:bCs/>
          <w:color w:val="1c1c1c"/>
          <w:sz w:val="26"/>
          <w:szCs w:val="26"/>
        </w:rPr>
        <w:t xml:space="preserve">АО «Сбербанк-АСТ»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3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</w:rPr>
        <w:t xml:space="preserve">)</w:t>
      </w:r>
      <w:r>
        <w:rPr>
          <w:rFonts w:cs="Calibri"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(далее - </w:t>
      </w:r>
      <w:r>
        <w:rPr>
          <w:rFonts w:cs="Calibri"/>
          <w:bCs/>
          <w:color w:val="000000"/>
          <w:sz w:val="26"/>
          <w:szCs w:val="26"/>
        </w:rPr>
        <w:t xml:space="preserve">электронная площадка</w:t>
      </w:r>
      <w:r>
        <w:rPr>
          <w:rFonts w:cs="Calibri"/>
          <w:color w:val="000000"/>
          <w:sz w:val="26"/>
          <w:szCs w:val="26"/>
        </w:rPr>
        <w:t xml:space="preserve">).</w:t>
      </w:r>
      <w:r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>
        <w:rPr>
          <w:rFonts w:cs="Calibri"/>
          <w:bCs/>
          <w:color w:val="000000"/>
          <w:sz w:val="26"/>
          <w:szCs w:val="26"/>
        </w:rPr>
        <w:t xml:space="preserve">заявителю</w:t>
      </w:r>
      <w:r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>
        <w:rPr>
          <w:rFonts w:cs="Calibri"/>
          <w:bCs/>
          <w:color w:val="000000"/>
          <w:sz w:val="26"/>
          <w:szCs w:val="26"/>
        </w:rPr>
        <w:t xml:space="preserve">КЭП) в аккредитованном удостоверяющем центре.</w:t>
      </w:r>
      <w:r>
        <w:rPr>
          <w:rFonts w:cs="Calibri"/>
          <w:bCs/>
          <w:color w:val="000000"/>
          <w:sz w:val="26"/>
          <w:szCs w:val="26"/>
        </w:rPr>
      </w:r>
      <w:r>
        <w:rPr>
          <w:rFonts w:cs="Calibri"/>
          <w:bCs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color w:val="000000"/>
          <w:sz w:val="26"/>
          <w:szCs w:val="26"/>
        </w:rPr>
      </w:pPr>
      <w:r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>
        <w:rPr>
          <w:rFonts w:cs="Calibri"/>
          <w:bCs/>
          <w:color w:val="000000"/>
          <w:sz w:val="26"/>
          <w:szCs w:val="26"/>
        </w:rPr>
        <w:t xml:space="preserve">заявителей</w:t>
      </w:r>
      <w:r>
        <w:rPr>
          <w:rFonts w:cs="Calibri"/>
          <w:bCs/>
          <w:color w:val="000000"/>
          <w:sz w:val="26"/>
          <w:szCs w:val="26"/>
        </w:rPr>
        <w:t xml:space="preserve"> </w:t>
      </w:r>
      <w:r>
        <w:rPr>
          <w:rFonts w:cs="Calibri"/>
          <w:color w:val="000000"/>
          <w:sz w:val="26"/>
          <w:szCs w:val="26"/>
        </w:rPr>
        <w:t xml:space="preserve">на участие в </w:t>
      </w:r>
      <w:r>
        <w:rPr>
          <w:rFonts w:cs="Calibri"/>
          <w:color w:val="000000"/>
          <w:sz w:val="26"/>
          <w:szCs w:val="26"/>
        </w:rPr>
        <w:t xml:space="preserve">электронном </w:t>
      </w:r>
      <w:r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>
        <w:rPr>
          <w:rFonts w:cs="Calibri"/>
          <w:color w:val="000000"/>
          <w:sz w:val="26"/>
          <w:szCs w:val="26"/>
        </w:rPr>
        <w:t xml:space="preserve">в информационном сообщении</w:t>
      </w:r>
      <w:r>
        <w:rPr>
          <w:rFonts w:cs="Calibri"/>
          <w:color w:val="000000"/>
          <w:sz w:val="26"/>
          <w:szCs w:val="26"/>
        </w:rPr>
        <w:t xml:space="preserve">.</w:t>
      </w:r>
      <w:r>
        <w:rPr>
          <w:rFonts w:cs="Calibri"/>
          <w:color w:val="000000"/>
          <w:sz w:val="26"/>
          <w:szCs w:val="26"/>
        </w:rPr>
      </w:r>
      <w:r>
        <w:rPr>
          <w:rFonts w:cs="Calibri"/>
          <w:color w:val="000000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color w:val="000000"/>
          <w:sz w:val="26"/>
          <w:szCs w:val="26"/>
        </w:rPr>
        <w:t xml:space="preserve">Регистрация на электронной площадке осуществляется без взимания платы.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>
        <w:rPr>
          <w:rFonts w:cs="Calibri"/>
          <w:sz w:val="26"/>
          <w:szCs w:val="26"/>
        </w:rPr>
        <w:t xml:space="preserve">заявители</w:t>
      </w:r>
      <w:r>
        <w:rPr>
          <w:rFonts w:cs="Calibri"/>
          <w:sz w:val="26"/>
          <w:szCs w:val="26"/>
        </w:rPr>
        <w:t xml:space="preserve">, ранее не зарегистрированные на электронной площадке или регистрация которых на электронной площадке, была ими прекращена.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ind w:firstLine="709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Плата за услуги оператора </w:t>
      </w:r>
      <w:r>
        <w:rPr>
          <w:sz w:val="26"/>
          <w:szCs w:val="26"/>
        </w:rPr>
        <w:t xml:space="preserve">с победителя электронного аукциона или иных лиц </w:t>
      </w:r>
      <w:r>
        <w:rPr>
          <w:sz w:val="26"/>
          <w:szCs w:val="26"/>
        </w:rPr>
        <w:t xml:space="preserve">с которыми в соответствии с </w:t>
      </w:r>
      <w:hyperlink r:id="rId1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1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1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1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Земельного Код</w:t>
      </w:r>
      <w:r>
        <w:rPr>
          <w:sz w:val="26"/>
          <w:szCs w:val="26"/>
        </w:rPr>
        <w:t xml:space="preserve">екса заключается договор аренды</w:t>
      </w:r>
      <w:r>
        <w:rPr>
          <w:sz w:val="26"/>
          <w:szCs w:val="26"/>
        </w:rPr>
        <w:t xml:space="preserve"> земельного участка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не взимается, в соответствии с тарифами </w:t>
      </w:r>
      <w:r>
        <w:rPr>
          <w:rFonts w:cs="Calibri"/>
          <w:sz w:val="26"/>
          <w:szCs w:val="26"/>
        </w:rPr>
        <w:t xml:space="preserve">АО «Сбербанк-АСТ».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rFonts w:cs="Calibri"/>
          <w:b/>
          <w:bCs/>
          <w:sz w:val="26"/>
          <w:szCs w:val="26"/>
        </w:rPr>
        <w:t xml:space="preserve">Требования к участникам </w:t>
      </w:r>
      <w:r>
        <w:rPr>
          <w:rFonts w:cs="Calibri"/>
          <w:b/>
          <w:bCs/>
          <w:sz w:val="26"/>
          <w:szCs w:val="26"/>
        </w:rPr>
        <w:t xml:space="preserve">электронного </w:t>
      </w:r>
      <w:r>
        <w:rPr>
          <w:rFonts w:cs="Calibri"/>
          <w:b/>
          <w:bCs/>
          <w:sz w:val="26"/>
          <w:szCs w:val="26"/>
        </w:rPr>
        <w:t xml:space="preserve">аукциона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ind w:left="0" w:firstLine="709"/>
        <w:jc w:val="both"/>
        <w:spacing w:line="200" w:lineRule="atLeast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86"/>
        <w:numPr>
          <w:ilvl w:val="0"/>
          <w:numId w:val="12"/>
        </w:numPr>
        <w:ind w:left="0" w:firstLine="709"/>
        <w:jc w:val="both"/>
        <w:spacing w:line="200" w:lineRule="atLeast"/>
        <w:rPr>
          <w:rFonts w:cs="Calibri"/>
          <w:b/>
          <w:sz w:val="26"/>
          <w:szCs w:val="26"/>
        </w:rPr>
      </w:pPr>
      <w:r>
        <w:rPr>
          <w:b/>
          <w:sz w:val="26"/>
          <w:szCs w:val="26"/>
        </w:rPr>
        <w:t xml:space="preserve">Порядок подачи (приема) и отзыва заявок на участие в </w:t>
      </w:r>
      <w:r>
        <w:rPr>
          <w:b/>
          <w:sz w:val="26"/>
          <w:szCs w:val="26"/>
        </w:rPr>
        <w:t xml:space="preserve">электронном </w:t>
      </w:r>
      <w:r>
        <w:rPr>
          <w:b/>
          <w:sz w:val="26"/>
          <w:szCs w:val="26"/>
        </w:rPr>
        <w:t xml:space="preserve">аукционе, а также перечень прилагаемых документов: </w:t>
      </w:r>
      <w:r>
        <w:rPr>
          <w:rFonts w:cs="Calibri"/>
          <w:b/>
          <w:sz w:val="26"/>
          <w:szCs w:val="26"/>
        </w:rPr>
      </w:r>
      <w:r>
        <w:rPr>
          <w:rFonts w:cs="Calibri"/>
          <w:b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 xml:space="preserve">аукционах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пр</w:t>
      </w:r>
      <w:r>
        <w:rPr>
          <w:sz w:val="26"/>
          <w:szCs w:val="26"/>
        </w:rPr>
        <w:t xml:space="preserve">едставляет организатору </w:t>
      </w:r>
      <w:r>
        <w:rPr>
          <w:sz w:val="26"/>
          <w:szCs w:val="26"/>
        </w:rPr>
        <w:t xml:space="preserve">электронного аукциона</w:t>
      </w:r>
      <w:r>
        <w:rPr>
          <w:sz w:val="26"/>
          <w:szCs w:val="26"/>
        </w:rPr>
        <w:t xml:space="preserve"> через </w:t>
      </w:r>
      <w:r>
        <w:rPr>
          <w:rFonts w:cs="Calibri"/>
          <w:b/>
          <w:sz w:val="26"/>
          <w:szCs w:val="26"/>
        </w:rPr>
        <w:t xml:space="preserve">электронную площадку </w:t>
      </w:r>
      <w:r>
        <w:rPr>
          <w:b/>
          <w:bCs/>
          <w:sz w:val="26"/>
          <w:szCs w:val="26"/>
        </w:rPr>
        <w:t xml:space="preserve">АО «Сбербанк-АСТ»</w:t>
      </w:r>
      <w:r>
        <w:rPr>
          <w:bCs/>
          <w:sz w:val="26"/>
          <w:szCs w:val="26"/>
        </w:rPr>
        <w:t xml:space="preserve"> (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18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)</w:t>
      </w:r>
      <w:r>
        <w:rPr>
          <w:rStyle w:val="868"/>
          <w:color w:val="auto"/>
          <w:sz w:val="26"/>
          <w:szCs w:val="26"/>
          <w:u w:val="none"/>
        </w:rPr>
        <w:t xml:space="preserve"> </w:t>
      </w:r>
      <w:r>
        <w:rPr>
          <w:sz w:val="26"/>
          <w:szCs w:val="26"/>
        </w:rPr>
        <w:t xml:space="preserve">в установленный в извещении о проведении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срок следующие документы: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1) заявка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с указанием банковских реквизитов счета для возврата задатка</w:t>
      </w:r>
      <w:r>
        <w:rPr>
          <w:sz w:val="26"/>
          <w:szCs w:val="26"/>
        </w:rPr>
        <w:t xml:space="preserve"> заполняется в электронной форме</w:t>
      </w:r>
      <w:r>
        <w:rPr>
          <w:sz w:val="26"/>
          <w:szCs w:val="26"/>
        </w:rPr>
        <w:t xml:space="preserve"> (с приложением предусмотренных извещением документов)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копии документов, удостоверяющих личность заявителя (для граждан);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>
        <w:rPr>
          <w:sz w:val="26"/>
          <w:szCs w:val="26"/>
        </w:rPr>
        <w:t xml:space="preserve">надлежащим образом,</w:t>
      </w:r>
      <w:r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tabs>
          <w:tab w:val="left" w:pos="540" w:leader="none"/>
        </w:tabs>
        <w:rPr>
          <w:bCs/>
          <w:sz w:val="26"/>
          <w:szCs w:val="26"/>
        </w:rPr>
        <w:outlineLvl w:val="0"/>
      </w:pPr>
      <w:r>
        <w:rPr>
          <w:sz w:val="26"/>
          <w:szCs w:val="26"/>
        </w:rPr>
        <w:t xml:space="preserve">4) документы, </w:t>
      </w:r>
      <w:r>
        <w:rPr>
          <w:sz w:val="26"/>
          <w:szCs w:val="26"/>
        </w:rPr>
        <w:t xml:space="preserve">подтверждающие внесение задатка</w:t>
      </w:r>
      <w:r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Представление документов, подтверждающих внесение задатка, признается заключением соглашения о задатке.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Один </w:t>
      </w:r>
      <w:r>
        <w:rPr>
          <w:rFonts w:ascii="Times New Roman" w:hAnsi="Times New Roman" w:cs="Times New Roman"/>
          <w:sz w:val="26"/>
          <w:szCs w:val="26"/>
        </w:rPr>
        <w:t xml:space="preserve">заявитель</w:t>
      </w:r>
      <w:r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>
        <w:rPr>
          <w:rFonts w:ascii="Times New Roman" w:hAnsi="Times New Roman" w:cs="Times New Roman"/>
          <w:sz w:val="26"/>
          <w:szCs w:val="26"/>
        </w:rPr>
        <w:t xml:space="preserve">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>
        <w:rPr>
          <w:color w:val="000000"/>
          <w:sz w:val="26"/>
          <w:szCs w:val="26"/>
        </w:rPr>
        <w:t xml:space="preserve">указанных в п. 2 раздела 2 извещения, </w:t>
      </w:r>
      <w:r>
        <w:rPr>
          <w:sz w:val="26"/>
          <w:szCs w:val="26"/>
        </w:rPr>
        <w:t xml:space="preserve">до времени и даты окончания подачи (приема) заявок, </w:t>
      </w:r>
      <w:r>
        <w:rPr>
          <w:color w:val="000000"/>
          <w:sz w:val="26"/>
          <w:szCs w:val="26"/>
        </w:rPr>
        <w:t xml:space="preserve">указанных в п. 3 раздела 2 извещения.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bCs/>
          <w:sz w:val="26"/>
          <w:szCs w:val="26"/>
        </w:rPr>
      </w:pPr>
      <w:r>
        <w:rPr>
          <w:sz w:val="26"/>
          <w:szCs w:val="26"/>
        </w:rPr>
        <w:t xml:space="preserve">Заявки с прилагаемыми к ним документами, поданные с нарушением установленного срока, на электронной площадке не регистрируются.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ind w:firstLine="709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вправе не позднее даты и времени окончания приема заявок, </w:t>
      </w:r>
      <w:r>
        <w:rPr>
          <w:color w:val="000000"/>
          <w:sz w:val="26"/>
          <w:szCs w:val="26"/>
        </w:rPr>
        <w:t xml:space="preserve">указанных в п. 3 раздела 2 извещения,</w:t>
      </w:r>
      <w:r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9</w:t>
      </w:r>
      <w:r>
        <w:rPr>
          <w:b/>
          <w:bCs/>
          <w:sz w:val="26"/>
          <w:szCs w:val="26"/>
        </w:rPr>
        <w:t xml:space="preserve">. Порядок внесения и возврата задатка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Для участия в аукционе устанавливаются требования о внесении задатка.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Перечисление денежных средств на счёт Оператора электронной площадки производится по следующим реквизитам</w:t>
      </w:r>
      <w:r>
        <w:rPr>
          <w:sz w:val="26"/>
          <w:szCs w:val="26"/>
        </w:rPr>
        <w:t xml:space="preserve">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Получатель: </w:t>
      </w:r>
      <w:r>
        <w:rPr>
          <w:sz w:val="26"/>
          <w:szCs w:val="26"/>
        </w:rPr>
        <w:t xml:space="preserve">АО «Сбербанк</w:t>
      </w:r>
      <w:r>
        <w:rPr>
          <w:sz w:val="26"/>
          <w:szCs w:val="26"/>
        </w:rPr>
        <w:t xml:space="preserve">-АСТ»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Наименование банка: ПАО «Сбербанк России» г. Москва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БИК 044525225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Расчетный счет (Казначейский счет)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40702810300020038047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Корреспондентский счет (ЕКС)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30101810400000000225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ИНН 7707308480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ab/>
        <w:t xml:space="preserve">КПП 770401001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spacing w:line="200" w:lineRule="atLeast"/>
        <w:rPr>
          <w:sz w:val="26"/>
          <w:szCs w:val="26"/>
          <w:shd w:val="clear" w:color="auto" w:fill="ffffff"/>
        </w:rPr>
      </w:pPr>
      <w:r>
        <w:rPr>
          <w:rStyle w:val="893"/>
          <w:color w:val="333333"/>
          <w:sz w:val="26"/>
          <w:szCs w:val="26"/>
          <w:shd w:val="clear" w:color="auto" w:fill="ffffff"/>
        </w:rPr>
        <w:t xml:space="preserve">В назначении платежа необходимо обязательно указать:</w:t>
      </w:r>
      <w:r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>
        <w:rPr>
          <w:sz w:val="26"/>
          <w:szCs w:val="26"/>
          <w:shd w:val="clear" w:color="auto" w:fill="ffffff"/>
        </w:rPr>
        <w:t xml:space="preserve">плательщика).</w:t>
      </w:r>
      <w:r>
        <w:rPr>
          <w:sz w:val="26"/>
          <w:szCs w:val="26"/>
          <w:shd w:val="clear" w:color="auto" w:fill="ffffff"/>
        </w:rPr>
      </w:r>
      <w:r>
        <w:rPr>
          <w:sz w:val="26"/>
          <w:szCs w:val="26"/>
          <w:shd w:val="clear" w:color="auto" w:fill="ffffff"/>
        </w:rPr>
      </w:r>
    </w:p>
    <w:p>
      <w:pPr>
        <w:jc w:val="both"/>
        <w:spacing w:line="200" w:lineRule="atLeast"/>
        <w:rPr>
          <w:b/>
          <w:bCs/>
          <w:sz w:val="26"/>
          <w:szCs w:val="26"/>
          <w:highlight w:val="white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обеспечивает поступление задатка </w:t>
      </w:r>
      <w:r>
        <w:rPr>
          <w:b/>
          <w:sz w:val="26"/>
          <w:szCs w:val="26"/>
        </w:rPr>
        <w:t xml:space="preserve">в срок </w:t>
      </w:r>
      <w:r>
        <w:rPr>
          <w:b/>
          <w:bCs/>
          <w:sz w:val="26"/>
          <w:szCs w:val="26"/>
        </w:rPr>
        <w:t xml:space="preserve">с 1</w:t>
      </w:r>
      <w:r>
        <w:rPr>
          <w:b/>
          <w:bCs/>
          <w:sz w:val="26"/>
          <w:szCs w:val="26"/>
        </w:rPr>
        <w:t xml:space="preserve">7</w:t>
      </w:r>
      <w:r>
        <w:rPr>
          <w:b/>
          <w:bCs/>
          <w:sz w:val="26"/>
          <w:szCs w:val="26"/>
        </w:rPr>
        <w:t xml:space="preserve">.1</w:t>
      </w:r>
      <w:r>
        <w:rPr>
          <w:b/>
          <w:bCs/>
          <w:sz w:val="26"/>
          <w:szCs w:val="26"/>
        </w:rPr>
        <w:t xml:space="preserve">0</w:t>
      </w:r>
      <w:r>
        <w:rPr>
          <w:b/>
          <w:bCs/>
          <w:sz w:val="26"/>
          <w:szCs w:val="26"/>
          <w:highlight w:val="white"/>
        </w:rPr>
        <w:t xml:space="preserve">.2026</w:t>
      </w:r>
      <w:r>
        <w:rPr>
          <w:b/>
          <w:bCs/>
          <w:sz w:val="26"/>
          <w:szCs w:val="26"/>
          <w:highlight w:val="white"/>
        </w:rPr>
        <w:t xml:space="preserve"> с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</w:t>
      </w:r>
      <w:r>
        <w:rPr>
          <w:b/>
          <w:bCs/>
          <w:sz w:val="26"/>
          <w:szCs w:val="26"/>
          <w:highlight w:val="white"/>
        </w:rPr>
        <w:t xml:space="preserve">0</w:t>
      </w:r>
      <w:r>
        <w:rPr>
          <w:b/>
          <w:bCs/>
          <w:sz w:val="26"/>
          <w:szCs w:val="26"/>
          <w:highlight w:val="white"/>
        </w:rPr>
        <w:t xml:space="preserve">1</w:t>
      </w:r>
      <w:r>
        <w:rPr>
          <w:b/>
          <w:bCs/>
          <w:sz w:val="26"/>
          <w:szCs w:val="26"/>
          <w:highlight w:val="white"/>
        </w:rPr>
        <w:t xml:space="preserve">.1</w:t>
      </w:r>
      <w:r>
        <w:rPr>
          <w:b/>
          <w:bCs/>
          <w:sz w:val="26"/>
          <w:szCs w:val="26"/>
          <w:highlight w:val="white"/>
        </w:rPr>
        <w:t xml:space="preserve">1</w:t>
      </w:r>
      <w:r>
        <w:rPr>
          <w:b/>
          <w:bCs/>
          <w:sz w:val="26"/>
          <w:szCs w:val="26"/>
          <w:highlight w:val="white"/>
        </w:rPr>
        <w:t xml:space="preserve">.</w:t>
      </w:r>
      <w:r>
        <w:rPr>
          <w:b/>
          <w:bCs/>
          <w:sz w:val="26"/>
          <w:szCs w:val="26"/>
          <w:highlight w:val="white"/>
        </w:rPr>
        <w:t xml:space="preserve">2026</w:t>
      </w:r>
      <w:r>
        <w:rPr>
          <w:b/>
          <w:bCs/>
          <w:sz w:val="26"/>
          <w:szCs w:val="26"/>
          <w:highlight w:val="white"/>
        </w:rPr>
        <w:t xml:space="preserve"> до </w:t>
      </w:r>
      <w:r>
        <w:rPr>
          <w:b/>
          <w:bCs/>
          <w:sz w:val="26"/>
          <w:szCs w:val="26"/>
          <w:highlight w:val="white"/>
        </w:rPr>
        <w:t xml:space="preserve">10</w:t>
      </w:r>
      <w:r>
        <w:rPr>
          <w:b/>
          <w:bCs/>
          <w:sz w:val="26"/>
          <w:szCs w:val="26"/>
          <w:highlight w:val="white"/>
        </w:rPr>
        <w:t xml:space="preserve"> час. 00 мин. по </w:t>
      </w:r>
      <w:r>
        <w:rPr>
          <w:b/>
          <w:bCs/>
          <w:sz w:val="26"/>
          <w:szCs w:val="26"/>
          <w:highlight w:val="white"/>
        </w:rPr>
        <w:t xml:space="preserve">местному</w:t>
      </w:r>
      <w:r>
        <w:rPr>
          <w:b/>
          <w:bCs/>
          <w:sz w:val="26"/>
          <w:szCs w:val="26"/>
          <w:highlight w:val="white"/>
        </w:rPr>
        <w:t xml:space="preserve"> времени.</w:t>
      </w: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white"/>
        </w:rPr>
      </w:r>
    </w:p>
    <w:p>
      <w:pPr>
        <w:jc w:val="both"/>
        <w:spacing w:line="200" w:lineRule="atLeast"/>
        <w:rPr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sz w:val="26"/>
          <w:szCs w:val="26"/>
        </w:rPr>
        <w:t xml:space="preserve">Плательщиком задатка может быть только </w:t>
      </w: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будут считаться ошибочно перечисленными денежными средствами и возвращены на счет плательщика.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r>
        <w:rPr>
          <w:b/>
          <w:sz w:val="26"/>
          <w:szCs w:val="26"/>
          <w:lang w:val="en-US"/>
        </w:rPr>
        <w:t xml:space="preserve">utp</w:t>
      </w:r>
      <w:r>
        <w:rPr>
          <w:b/>
          <w:sz w:val="26"/>
          <w:szCs w:val="26"/>
        </w:rPr>
        <w:t xml:space="preserve">.</w:t>
      </w:r>
      <w:hyperlink r:id="rId19" w:tooltip="http://sberbank-ast.ru" w:history="1"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b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b/>
            <w:color w:val="auto"/>
            <w:sz w:val="26"/>
            <w:szCs w:val="26"/>
            <w:u w:val="none"/>
          </w:rPr>
          <w:t xml:space="preserve">ru</w:t>
        </w:r>
      </w:hyperlink>
      <w:r>
        <w:rPr>
          <w:sz w:val="26"/>
          <w:szCs w:val="26"/>
        </w:rPr>
        <w:t xml:space="preserve"> (далее – Регламент), а также ЗК РФ.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Операции</w:t>
      </w:r>
      <w:r>
        <w:rPr>
          <w:sz w:val="26"/>
          <w:szCs w:val="26"/>
        </w:rPr>
        <w:t xml:space="preserve"> по перечислению дене</w:t>
      </w:r>
      <w:r>
        <w:rPr>
          <w:sz w:val="26"/>
          <w:szCs w:val="26"/>
        </w:rPr>
        <w:t xml:space="preserve">жных средств на счёт Оператора </w:t>
      </w:r>
      <w:r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>
        <w:rPr>
          <w:sz w:val="26"/>
          <w:szCs w:val="26"/>
        </w:rPr>
        <w:t xml:space="preserve">согласно Извещения, блокируются Оператором э</w:t>
      </w:r>
      <w:r>
        <w:rPr>
          <w:sz w:val="26"/>
          <w:szCs w:val="26"/>
        </w:rPr>
        <w:t xml:space="preserve">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>
        <w:rPr>
          <w:sz w:val="26"/>
          <w:szCs w:val="26"/>
        </w:rPr>
        <w:t xml:space="preserve">является</w:t>
      </w:r>
      <w:r>
        <w:rPr>
          <w:sz w:val="26"/>
          <w:szCs w:val="26"/>
        </w:rPr>
        <w:t xml:space="preserve"> заключением Соглашения о задатке.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Задаток, внесенный лицом, признанным победителем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аукционе, с заявителем, признанным единственным участником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>
        <w:rPr>
          <w:sz w:val="26"/>
          <w:szCs w:val="26"/>
        </w:rPr>
        <w:t xml:space="preserve">оплату приобретаемого земельного участка или в счет арендной платы за него</w:t>
      </w:r>
      <w:r>
        <w:rPr>
          <w:sz w:val="26"/>
          <w:szCs w:val="26"/>
        </w:rPr>
        <w:t xml:space="preserve">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widowControl w:val="off"/>
        <w:tabs>
          <w:tab w:val="left" w:pos="1346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Прекращение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блокирования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денежных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средств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счете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участника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37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38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39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производится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оператором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 площадки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следующем порядке: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86"/>
        <w:numPr>
          <w:ilvl w:val="0"/>
          <w:numId w:val="13"/>
        </w:numPr>
        <w:contextualSpacing w:val="0"/>
        <w:ind w:left="0"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для</w:t>
      </w:r>
      <w:r>
        <w:rPr>
          <w:sz w:val="26"/>
          <w:szCs w:val="26"/>
        </w:rPr>
        <w:t xml:space="preserve"> заявителя электронного</w:t>
      </w:r>
      <w:r>
        <w:rPr>
          <w:sz w:val="26"/>
          <w:szCs w:val="26"/>
        </w:rPr>
        <w:t xml:space="preserve"> аукциона, отозвавшего заявку до о</w:t>
      </w:r>
      <w:r>
        <w:rPr>
          <w:sz w:val="26"/>
          <w:szCs w:val="26"/>
        </w:rPr>
        <w:t xml:space="preserve">кончания срока приема заявок - </w:t>
      </w:r>
      <w:r>
        <w:rPr>
          <w:sz w:val="26"/>
          <w:szCs w:val="26"/>
        </w:rPr>
        <w:t xml:space="preserve">в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 </w:t>
      </w:r>
      <w:r>
        <w:rPr>
          <w:sz w:val="26"/>
          <w:szCs w:val="26"/>
        </w:rPr>
        <w:t xml:space="preserve">3 рабочих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   дня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поступления   уведомления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об   </w:t>
      </w:r>
      <w:r>
        <w:rPr>
          <w:sz w:val="26"/>
          <w:szCs w:val="26"/>
        </w:rPr>
        <w:t xml:space="preserve">отзыве</w:t>
      </w:r>
      <w:r>
        <w:rPr>
          <w:spacing w:val="55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заявки</w:t>
      </w:r>
      <w:r>
        <w:rPr>
          <w:spacing w:val="-52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заявителя</w:t>
      </w:r>
      <w:r>
        <w:rPr>
          <w:sz w:val="26"/>
          <w:szCs w:val="26"/>
        </w:rPr>
        <w:t xml:space="preserve">, не допущенного к участию в аукционе в электронной форме – в течение 3 рабочих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оформления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рассмотрения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заявок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на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участие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аукционе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-53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 Регламентом;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"/>
        <w:jc w:val="both"/>
        <w:widowControl w:val="off"/>
        <w:tabs>
          <w:tab w:val="left" w:pos="1240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для участников, участвовавших в аукционе в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7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форме,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но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не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победивших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нем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–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течение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3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рабочих</w:t>
      </w:r>
      <w:r>
        <w:rPr>
          <w:spacing w:val="-6"/>
          <w:sz w:val="26"/>
          <w:szCs w:val="26"/>
        </w:rPr>
        <w:t xml:space="preserve"> </w:t>
      </w:r>
      <w:r>
        <w:rPr>
          <w:sz w:val="26"/>
          <w:szCs w:val="26"/>
        </w:rPr>
        <w:t xml:space="preserve">дней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со</w:t>
      </w:r>
      <w:r>
        <w:rPr>
          <w:spacing w:val="-3"/>
          <w:sz w:val="26"/>
          <w:szCs w:val="26"/>
        </w:rPr>
        <w:t xml:space="preserve"> </w:t>
      </w:r>
      <w:r>
        <w:rPr>
          <w:sz w:val="26"/>
          <w:szCs w:val="26"/>
        </w:rPr>
        <w:t xml:space="preserve">дня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публикации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Протокола</w:t>
      </w:r>
      <w:r>
        <w:rPr>
          <w:spacing w:val="-52"/>
          <w:sz w:val="26"/>
          <w:szCs w:val="26"/>
        </w:rPr>
        <w:t xml:space="preserve">    </w:t>
      </w:r>
      <w:r>
        <w:rPr>
          <w:sz w:val="26"/>
          <w:szCs w:val="26"/>
        </w:rPr>
        <w:t xml:space="preserve">о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результатах аукциона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 xml:space="preserve">электронной</w:t>
      </w:r>
      <w:r>
        <w:rPr>
          <w:spacing w:val="-5"/>
          <w:sz w:val="26"/>
          <w:szCs w:val="26"/>
        </w:rPr>
        <w:t xml:space="preserve"> </w:t>
      </w:r>
      <w:r>
        <w:rPr>
          <w:sz w:val="26"/>
          <w:szCs w:val="26"/>
        </w:rPr>
        <w:t xml:space="preserve">форме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 xml:space="preserve">в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 xml:space="preserve">соответствии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с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Регламентом.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3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r>
        <w:rPr>
          <w:sz w:val="26"/>
          <w:szCs w:val="26"/>
        </w:rPr>
        <w:t xml:space="preserve">договора</w:t>
      </w:r>
      <w:r>
        <w:rPr>
          <w:sz w:val="26"/>
          <w:szCs w:val="26"/>
        </w:rPr>
        <w:t xml:space="preserve"> аренды земельного участка победителем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20"/>
        <w:jc w:val="both"/>
        <w:spacing w:line="2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10</w:t>
      </w:r>
      <w:r>
        <w:rPr>
          <w:b/>
          <w:bCs/>
          <w:sz w:val="26"/>
          <w:szCs w:val="26"/>
        </w:rPr>
        <w:t xml:space="preserve">. Условия допуска к участию в </w:t>
      </w:r>
      <w:r>
        <w:rPr>
          <w:b/>
          <w:bCs/>
          <w:sz w:val="26"/>
          <w:szCs w:val="26"/>
        </w:rPr>
        <w:t xml:space="preserve">электронном </w:t>
      </w:r>
      <w:r>
        <w:rPr>
          <w:b/>
          <w:bCs/>
          <w:sz w:val="26"/>
          <w:szCs w:val="26"/>
        </w:rPr>
        <w:t xml:space="preserve">аукционе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Заявитель</w:t>
      </w:r>
      <w:r>
        <w:rPr>
          <w:sz w:val="26"/>
          <w:szCs w:val="26"/>
        </w:rPr>
        <w:t xml:space="preserve"> не допускается к участию в аукционе в случае: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1) непредставление необходимых для участия в</w:t>
      </w:r>
      <w:r>
        <w:rPr>
          <w:sz w:val="26"/>
          <w:szCs w:val="26"/>
        </w:rPr>
        <w:t xml:space="preserve"> электронном </w:t>
      </w:r>
      <w:r>
        <w:rPr>
          <w:sz w:val="26"/>
          <w:szCs w:val="26"/>
        </w:rPr>
        <w:t xml:space="preserve">аукционе документов или представление недостоверных сведений;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>
        <w:rPr>
          <w:sz w:val="26"/>
          <w:szCs w:val="26"/>
        </w:rPr>
        <w:t xml:space="preserve">непоступление</w:t>
      </w:r>
      <w:r>
        <w:rPr>
          <w:sz w:val="26"/>
          <w:szCs w:val="26"/>
        </w:rPr>
        <w:t xml:space="preserve"> задатка на дату рассмотрения заявок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3) подача заявки на участие в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лицом, которое в соответствии с </w:t>
      </w:r>
      <w:r>
        <w:rPr>
          <w:sz w:val="26"/>
          <w:szCs w:val="26"/>
        </w:rPr>
        <w:t xml:space="preserve">Земельным </w:t>
      </w:r>
      <w:r>
        <w:rPr>
          <w:sz w:val="26"/>
          <w:szCs w:val="26"/>
        </w:rPr>
        <w:t xml:space="preserve">Кодексом</w:t>
      </w:r>
      <w:r>
        <w:rPr>
          <w:sz w:val="26"/>
          <w:szCs w:val="26"/>
        </w:rPr>
        <w:t xml:space="preserve"> РФ</w:t>
      </w:r>
      <w:r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покупателем земельного участка или приобрести земельный участок в аренду;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 w:val="off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>
        <w:rPr>
          <w:sz w:val="26"/>
          <w:szCs w:val="26"/>
        </w:rPr>
        <w:t xml:space="preserve">реестре недобросовестных участников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. Порядок определения участников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Решение о признании претендентов участниками аукциона принимается в соответствии </w:t>
      </w:r>
      <w:r>
        <w:rPr>
          <w:sz w:val="26"/>
          <w:szCs w:val="26"/>
        </w:rPr>
        <w:t xml:space="preserve">с </w:t>
      </w:r>
      <w:r>
        <w:rPr>
          <w:sz w:val="26"/>
          <w:szCs w:val="26"/>
        </w:rPr>
        <w:t xml:space="preserve">протоколом </w:t>
      </w:r>
      <w:r>
        <w:rPr>
          <w:sz w:val="26"/>
          <w:szCs w:val="26"/>
        </w:rPr>
        <w:t xml:space="preserve">рассмотрения</w:t>
      </w:r>
      <w:r>
        <w:rPr>
          <w:sz w:val="26"/>
          <w:szCs w:val="26"/>
        </w:rPr>
        <w:t xml:space="preserve"> заявок  </w:t>
      </w:r>
      <w:r>
        <w:rPr>
          <w:sz w:val="26"/>
          <w:szCs w:val="26"/>
        </w:rPr>
        <w:t xml:space="preserve">на участие в электронном аукционе </w:t>
      </w:r>
      <w:r>
        <w:rPr>
          <w:color w:val="000000"/>
          <w:sz w:val="26"/>
          <w:szCs w:val="26"/>
        </w:rPr>
        <w:t xml:space="preserve">на сайте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0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</w:rPr>
          <w:t xml:space="preserve">ru</w:t>
        </w:r>
      </w:hyperlink>
      <w:r>
        <w:rPr>
          <w:color w:val="000000"/>
          <w:sz w:val="26"/>
          <w:szCs w:val="26"/>
        </w:rPr>
        <w:t xml:space="preserve">.</w:t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>
        <w:rPr>
          <w:rFonts w:ascii="Times New Roman" w:hAnsi="Times New Roman" w:cs="Times New Roman"/>
          <w:sz w:val="26"/>
          <w:szCs w:val="26"/>
        </w:rPr>
        <w:t xml:space="preserve">ь от имени организатора аукцион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</w:t>
      </w:r>
      <w:r>
        <w:rPr>
          <w:rFonts w:ascii="Times New Roman" w:hAnsi="Times New Roman" w:cs="Times New Roman"/>
          <w:sz w:val="26"/>
          <w:szCs w:val="26"/>
        </w:rPr>
        <w:t xml:space="preserve">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>
        <w:rPr>
          <w:rFonts w:ascii="Times New Roman" w:hAnsi="Times New Roman" w:cs="Times New Roman"/>
          <w:sz w:val="26"/>
          <w:szCs w:val="26"/>
        </w:rPr>
        <w:t xml:space="preserve"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Заявителям, признанным участниками электронного</w:t>
      </w:r>
      <w:r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>
        <w:rPr>
          <w:sz w:val="26"/>
          <w:szCs w:val="26"/>
        </w:rPr>
        <w:t xml:space="preserve"> рассмотрения заявок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2</w:t>
      </w:r>
      <w:r>
        <w:rPr>
          <w:b/>
          <w:sz w:val="26"/>
          <w:szCs w:val="26"/>
        </w:rPr>
        <w:t xml:space="preserve">.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Порядок проведения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аукциона: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sz w:val="26"/>
          <w:szCs w:val="26"/>
        </w:rPr>
        <w:t xml:space="preserve">Электронный</w:t>
      </w:r>
      <w:r>
        <w:rPr>
          <w:rFonts w:cs="Calibri"/>
          <w:sz w:val="26"/>
          <w:szCs w:val="26"/>
        </w:rPr>
        <w:t xml:space="preserve"> а</w:t>
      </w:r>
      <w:r>
        <w:rPr>
          <w:rFonts w:cs="Calibri"/>
          <w:sz w:val="26"/>
          <w:szCs w:val="26"/>
        </w:rPr>
        <w:t xml:space="preserve">укцион проводится на электронной площадке в день и время, у</w:t>
      </w:r>
      <w:r>
        <w:rPr>
          <w:rFonts w:cs="Calibri"/>
          <w:sz w:val="26"/>
          <w:szCs w:val="26"/>
        </w:rPr>
        <w:t xml:space="preserve">казанные</w:t>
      </w:r>
      <w:r>
        <w:rPr>
          <w:rFonts w:cs="Calibri"/>
          <w:sz w:val="26"/>
          <w:szCs w:val="26"/>
        </w:rPr>
        <w:t xml:space="preserve"> в извещении.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</w:t>
      </w:r>
      <w:r>
        <w:rPr>
          <w:sz w:val="26"/>
          <w:szCs w:val="26"/>
        </w:rPr>
        <w:t xml:space="preserve">укцион проводится при наличии не менее двух участников.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Начальной ценой</w:t>
      </w:r>
      <w:r>
        <w:rPr>
          <w:sz w:val="26"/>
          <w:szCs w:val="26"/>
        </w:rPr>
        <w:t xml:space="preserve">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</w:t>
      </w:r>
      <w:r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21" w:tooltip="consultantplus://offline/ref=ACBC04675D45A7319E4896355D993A4826746042F3CB2CBB1E8429029F34B456AD46430754CDA9B6A2FD79FD81QEfFJ" w:history="1">
        <w:r>
          <w:rPr>
            <w:bCs/>
            <w:sz w:val="26"/>
            <w:szCs w:val="26"/>
          </w:rPr>
          <w:t xml:space="preserve">законом</w:t>
        </w:r>
      </w:hyperlink>
      <w:r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</w:t>
      </w:r>
      <w:r>
        <w:rPr>
          <w:bCs/>
          <w:sz w:val="26"/>
          <w:szCs w:val="26"/>
        </w:rPr>
        <w:t xml:space="preserve">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 ходе проведения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участники аукциона подают предложения о цене предмета аукциона в соответствии со следующими требованиями: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предложение о цене предмета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увеличивает текущее максимальное предложение о цене предмета аукциона на величину "шага аукциона";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участник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Предложение о цене предмета </w:t>
      </w:r>
      <w:r>
        <w:rPr>
          <w:sz w:val="26"/>
          <w:szCs w:val="26"/>
        </w:rPr>
        <w:t xml:space="preserve">электронного</w:t>
      </w:r>
      <w:r>
        <w:rPr>
          <w:rFonts w:cs="Calibri"/>
          <w:sz w:val="26"/>
          <w:szCs w:val="26"/>
        </w:rPr>
        <w:t xml:space="preserve"> </w:t>
      </w:r>
      <w:r>
        <w:rPr>
          <w:rFonts w:cs="Calibri"/>
          <w:sz w:val="26"/>
          <w:szCs w:val="26"/>
        </w:rPr>
        <w:t xml:space="preserve">аукциона признается подписанное ЭП участника.</w:t>
      </w:r>
      <w:r>
        <w:rPr>
          <w:rFonts w:cs="Calibri"/>
          <w:sz w:val="26"/>
          <w:szCs w:val="26"/>
        </w:rPr>
      </w:r>
      <w:r>
        <w:rPr>
          <w:rFonts w:cs="Calibri"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Время ожидания предложения участника электронного а</w:t>
      </w:r>
      <w:r>
        <w:rPr>
          <w:sz w:val="26"/>
          <w:szCs w:val="26"/>
        </w:rPr>
        <w:t xml:space="preserve">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spacing w:line="200" w:lineRule="atLeas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1</w:t>
      </w:r>
      <w:r>
        <w:rPr>
          <w:b/>
          <w:sz w:val="26"/>
          <w:szCs w:val="26"/>
        </w:rPr>
        <w:t xml:space="preserve">3</w:t>
      </w:r>
      <w:r>
        <w:rPr>
          <w:b/>
          <w:sz w:val="26"/>
          <w:szCs w:val="26"/>
        </w:rPr>
        <w:t xml:space="preserve">. </w:t>
      </w:r>
      <w:r>
        <w:rPr>
          <w:b/>
          <w:bCs/>
          <w:sz w:val="26"/>
          <w:szCs w:val="26"/>
        </w:rPr>
        <w:t xml:space="preserve">Подведение итогов процедуры</w:t>
      </w:r>
      <w:r>
        <w:rPr>
          <w:b/>
          <w:sz w:val="26"/>
          <w:szCs w:val="26"/>
        </w:rPr>
      </w:r>
      <w:r>
        <w:rPr>
          <w:b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Выигравшим торги на </w:t>
      </w:r>
      <w:r>
        <w:rPr>
          <w:sz w:val="26"/>
          <w:szCs w:val="26"/>
        </w:rPr>
        <w:t xml:space="preserve">электронном </w:t>
      </w:r>
      <w:r>
        <w:rPr>
          <w:sz w:val="26"/>
          <w:szCs w:val="26"/>
        </w:rPr>
        <w:t xml:space="preserve">аукционе признается лицо, предложившее наиболее высокую цену.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</w:t>
      </w:r>
      <w:r>
        <w:rPr>
          <w:sz w:val="26"/>
          <w:szCs w:val="26"/>
        </w:rPr>
        <w:t xml:space="preserve">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</w:t>
      </w:r>
      <w:r>
        <w:rPr>
          <w:sz w:val="26"/>
          <w:szCs w:val="26"/>
        </w:rPr>
        <w:t xml:space="preserve">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>
        <w:rPr>
          <w:sz w:val="26"/>
          <w:szCs w:val="26"/>
        </w:rPr>
        <w:t xml:space="preserve">режиме направляется оператором электронной площадки для размещения на официальном сайте.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Информация о результатах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публикуется на официальных сайтах в сети «Интернет»</w:t>
      </w:r>
      <w:r>
        <w:rPr>
          <w:b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lang w:val="en-US"/>
        </w:rPr>
        <w:t xml:space="preserve">utp</w:t>
      </w:r>
      <w:r>
        <w:rPr>
          <w:sz w:val="26"/>
          <w:szCs w:val="26"/>
        </w:rPr>
        <w:t xml:space="preserve">.</w:t>
      </w:r>
      <w:hyperlink r:id="rId22" w:tooltip="http://sberbank-ast.ru" w:history="1"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sberbank</w:t>
        </w:r>
        <w:r>
          <w:rPr>
            <w:rStyle w:val="868"/>
            <w:color w:val="auto"/>
            <w:sz w:val="26"/>
            <w:szCs w:val="26"/>
            <w:u w:val="none"/>
          </w:rPr>
          <w:t xml:space="preserve">-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ast</w:t>
        </w:r>
        <w:r>
          <w:rPr>
            <w:rStyle w:val="868"/>
            <w:color w:val="auto"/>
            <w:sz w:val="26"/>
            <w:szCs w:val="26"/>
            <w:u w:val="none"/>
          </w:rPr>
          <w:t xml:space="preserve">.</w:t>
        </w:r>
        <w:r>
          <w:rPr>
            <w:rStyle w:val="868"/>
            <w:color w:val="auto"/>
            <w:sz w:val="26"/>
            <w:szCs w:val="26"/>
            <w:u w:val="none"/>
            <w:lang w:val="en-US"/>
          </w:rPr>
          <w:t xml:space="preserve">ru</w:t>
        </w:r>
      </w:hyperlink>
      <w:r>
        <w:rPr>
          <w:rStyle w:val="868"/>
          <w:color w:val="auto"/>
          <w:sz w:val="26"/>
          <w:szCs w:val="26"/>
          <w:u w:val="none"/>
        </w:rPr>
        <w:t xml:space="preserve"> (</w:t>
      </w:r>
      <w:r>
        <w:rPr>
          <w:bCs/>
          <w:sz w:val="26"/>
          <w:szCs w:val="26"/>
        </w:rPr>
        <w:t xml:space="preserve">АО «Сбербанк-АСТ»)</w:t>
      </w:r>
      <w:r>
        <w:rPr>
          <w:rStyle w:val="868"/>
          <w:color w:val="auto"/>
          <w:sz w:val="26"/>
          <w:szCs w:val="26"/>
          <w:u w:val="none"/>
        </w:rPr>
        <w:t xml:space="preserve">,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 </w:t>
      </w:r>
      <w:r>
        <w:rPr>
          <w:bCs/>
          <w:sz w:val="26"/>
          <w:szCs w:val="26"/>
        </w:rPr>
        <w:t xml:space="preserve">официальном сайте </w:t>
      </w:r>
      <w:r>
        <w:rPr>
          <w:sz w:val="26"/>
          <w:szCs w:val="26"/>
        </w:rPr>
        <w:t xml:space="preserve">уполномоченного органа</w:t>
      </w:r>
      <w:r>
        <w:rPr>
          <w:bCs/>
          <w:sz w:val="26"/>
          <w:szCs w:val="26"/>
        </w:rPr>
        <w:t xml:space="preserve"> </w:t>
      </w:r>
      <w:hyperlink r:id="rId23" w:tooltip="http://www.mio.irkobl.ru" w:history="1">
        <w:r>
          <w:rPr>
            <w:bCs/>
            <w:sz w:val="26"/>
            <w:szCs w:val="26"/>
          </w:rPr>
          <w:t xml:space="preserve">www.mio.irkobl.</w:t>
        </w:r>
        <w:r>
          <w:rPr>
            <w:bCs/>
            <w:sz w:val="26"/>
            <w:szCs w:val="26"/>
            <w:lang w:val="en-US"/>
          </w:rPr>
          <w:t xml:space="preserve">r</w:t>
        </w:r>
        <w:r>
          <w:rPr>
            <w:bCs/>
            <w:sz w:val="26"/>
            <w:szCs w:val="26"/>
          </w:rPr>
          <w:t xml:space="preserve">u</w:t>
        </w:r>
      </w:hyperlink>
      <w:r>
        <w:rPr>
          <w:bCs/>
          <w:sz w:val="26"/>
          <w:szCs w:val="26"/>
        </w:rPr>
        <w:t xml:space="preserve">  и </w:t>
      </w:r>
      <w:r>
        <w:rPr>
          <w:sz w:val="26"/>
          <w:szCs w:val="26"/>
        </w:rPr>
        <w:t xml:space="preserve"> сайте </w:t>
      </w:r>
      <w:r>
        <w:rPr>
          <w:bCs/>
          <w:sz w:val="26"/>
          <w:szCs w:val="26"/>
        </w:rPr>
        <w:t xml:space="preserve">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sz w:val="26"/>
          <w:szCs w:val="26"/>
          <w:u w:val="single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09"/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1</w:t>
      </w:r>
      <w:r>
        <w:rPr>
          <w:b/>
          <w:bCs/>
          <w:sz w:val="26"/>
          <w:szCs w:val="26"/>
        </w:rPr>
        <w:t xml:space="preserve">4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color w:val="ff0000"/>
          <w:sz w:val="26"/>
          <w:szCs w:val="26"/>
        </w:rPr>
        <w:t xml:space="preserve"> </w:t>
      </w:r>
      <w:r>
        <w:rPr>
          <w:b/>
          <w:bCs/>
          <w:sz w:val="26"/>
          <w:szCs w:val="26"/>
        </w:rPr>
        <w:t xml:space="preserve">Заключение договора аренды</w:t>
      </w:r>
      <w:r>
        <w:rPr>
          <w:b/>
          <w:bCs/>
          <w:sz w:val="26"/>
          <w:szCs w:val="26"/>
        </w:rPr>
        <w:t xml:space="preserve"> земельного участка по результатам </w:t>
      </w:r>
      <w:r>
        <w:rPr>
          <w:b/>
          <w:sz w:val="26"/>
          <w:szCs w:val="26"/>
        </w:rPr>
        <w:t xml:space="preserve">электронного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аукциона</w:t>
      </w:r>
      <w:r>
        <w:rPr>
          <w:b/>
          <w:bCs/>
          <w:sz w:val="26"/>
          <w:szCs w:val="26"/>
        </w:rPr>
        <w:t xml:space="preserve">.</w:t>
      </w:r>
      <w:r>
        <w:rPr>
          <w:b/>
          <w:bCs/>
          <w:sz w:val="26"/>
          <w:szCs w:val="26"/>
        </w:rPr>
      </w:r>
      <w:r>
        <w:rPr>
          <w:b/>
          <w:bCs/>
          <w:sz w:val="26"/>
          <w:szCs w:val="26"/>
        </w:rPr>
      </w:r>
    </w:p>
    <w:p>
      <w:pPr>
        <w:pStyle w:val="861"/>
        <w:ind w:firstLine="708"/>
        <w:spacing w:after="0" w:line="200" w:lineRule="atLeast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>
        <w:rPr>
          <w:bCs/>
          <w:iCs/>
          <w:sz w:val="26"/>
          <w:szCs w:val="26"/>
        </w:rPr>
        <w:t xml:space="preserve">результатам</w:t>
      </w:r>
      <w:r>
        <w:rPr>
          <w:sz w:val="26"/>
          <w:szCs w:val="26"/>
        </w:rPr>
        <w:t xml:space="preserve"> электронного</w:t>
      </w:r>
      <w:r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аукциона</w:t>
      </w:r>
      <w:r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</w:t>
      </w:r>
      <w:r>
        <w:rPr>
          <w:bCs/>
          <w:iCs/>
          <w:sz w:val="26"/>
          <w:szCs w:val="26"/>
        </w:rPr>
        <w:t xml:space="preserve">Федерации порядке.</w:t>
      </w:r>
      <w:r>
        <w:rPr>
          <w:bCs/>
          <w:iCs/>
          <w:sz w:val="26"/>
          <w:szCs w:val="26"/>
        </w:rPr>
      </w:r>
      <w:r>
        <w:rPr>
          <w:bCs/>
          <w:iCs/>
          <w:sz w:val="26"/>
          <w:szCs w:val="26"/>
        </w:rPr>
      </w:r>
    </w:p>
    <w:p>
      <w:pPr>
        <w:pStyle w:val="859"/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 результатам проведения электронного аукциона договор </w:t>
      </w:r>
      <w:r>
        <w:rPr>
          <w:sz w:val="26"/>
          <w:szCs w:val="26"/>
        </w:rPr>
        <w:t xml:space="preserve">аренды</w:t>
      </w:r>
      <w:r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>
        <w:rPr>
          <w:sz w:val="26"/>
          <w:szCs w:val="26"/>
        </w:rPr>
        <w:t xml:space="preserve"> Иркутской области</w:t>
      </w:r>
      <w:r>
        <w:rPr>
          <w:sz w:val="26"/>
          <w:szCs w:val="26"/>
        </w:rPr>
        <w:t xml:space="preserve">,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tabs>
          <w:tab w:val="left" w:pos="4032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Победитель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 обя</w:t>
      </w:r>
      <w:r>
        <w:rPr>
          <w:sz w:val="26"/>
          <w:szCs w:val="26"/>
        </w:rPr>
        <w:t xml:space="preserve">зан заключить договор аренды </w:t>
      </w:r>
      <w:r>
        <w:rPr>
          <w:sz w:val="26"/>
          <w:szCs w:val="26"/>
        </w:rPr>
        <w:t xml:space="preserve">земельного</w:t>
      </w:r>
      <w:r>
        <w:rPr>
          <w:sz w:val="26"/>
          <w:szCs w:val="26"/>
        </w:rPr>
        <w:t xml:space="preserve"> участка </w:t>
      </w:r>
      <w:r>
        <w:rPr>
          <w:sz w:val="26"/>
          <w:szCs w:val="26"/>
        </w:rPr>
        <w:t xml:space="preserve">с министерством имущественных</w:t>
      </w:r>
      <w:r>
        <w:rPr>
          <w:sz w:val="26"/>
          <w:szCs w:val="26"/>
        </w:rPr>
        <w:t xml:space="preserve"> отношений Иркутской области не ранее </w:t>
      </w:r>
      <w:r>
        <w:rPr>
          <w:sz w:val="26"/>
          <w:szCs w:val="26"/>
        </w:rPr>
        <w:t xml:space="preserve">10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>
        <w:rPr>
          <w:sz w:val="26"/>
          <w:szCs w:val="26"/>
        </w:rPr>
        <w:t xml:space="preserve">не позднее </w:t>
      </w:r>
      <w:r>
        <w:rPr>
          <w:sz w:val="26"/>
          <w:szCs w:val="26"/>
        </w:rPr>
        <w:t xml:space="preserve">10 рабочих дней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со дня со дня направления победителю аукциона проекта договора.  О</w:t>
      </w:r>
      <w:r>
        <w:rPr>
          <w:sz w:val="26"/>
          <w:szCs w:val="26"/>
        </w:rPr>
        <w:t xml:space="preserve">существить государственную регистрацию </w:t>
      </w:r>
      <w:r>
        <w:rPr>
          <w:sz w:val="26"/>
          <w:szCs w:val="26"/>
        </w:rPr>
        <w:t xml:space="preserve">перехода права собственности на земельный участок или </w:t>
      </w:r>
      <w:r>
        <w:rPr>
          <w:sz w:val="26"/>
          <w:szCs w:val="26"/>
        </w:rPr>
        <w:t xml:space="preserve">договора аренды земельного участка в порядке, установленном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Уполномоченный орган обязан в течение </w:t>
      </w:r>
      <w:r>
        <w:rPr>
          <w:sz w:val="26"/>
          <w:szCs w:val="26"/>
        </w:rPr>
        <w:t xml:space="preserve">пяти дней со дня истечения срока, предусмотренного </w:t>
      </w:r>
      <w:hyperlink w:tooltip="#Par30" w:anchor="Par30" w:history="1">
        <w:r>
          <w:rPr>
            <w:sz w:val="26"/>
            <w:szCs w:val="26"/>
          </w:rPr>
          <w:t xml:space="preserve">пунктом 11</w:t>
        </w:r>
      </w:hyperlink>
      <w:r>
        <w:rPr>
          <w:sz w:val="26"/>
          <w:szCs w:val="26"/>
        </w:rPr>
        <w:t xml:space="preserve"> ст.39.13 Земельного кодекса Российской Федерации </w:t>
      </w:r>
      <w:r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4" w:tooltip="consultantplus://offline/ref=FC846897312E2BD4721B2384DBE8A58C3C2A4FAB97764E8E4F2A57D7AE78929A029A8F6F69D38F281FBB3293FE6B28B11F6A190F67i3U6J" w:history="1">
        <w:r>
          <w:rPr>
            <w:sz w:val="26"/>
            <w:szCs w:val="26"/>
          </w:rPr>
          <w:t xml:space="preserve">пунктами 13</w:t>
        </w:r>
      </w:hyperlink>
      <w:r>
        <w:rPr>
          <w:sz w:val="26"/>
          <w:szCs w:val="26"/>
        </w:rPr>
        <w:t xml:space="preserve">, </w:t>
      </w:r>
      <w:hyperlink r:id="rId25" w:tooltip="consultantplus://offline/ref=FC846897312E2BD4721B2384DBE8A58C3C2A4FAB97764E8E4F2A57D7AE78929A029A8F6F68DA8F281FBB3293FE6B28B11F6A190F67i3U6J" w:history="1">
        <w:r>
          <w:rPr>
            <w:sz w:val="26"/>
            <w:szCs w:val="26"/>
          </w:rPr>
          <w:t xml:space="preserve">14</w:t>
        </w:r>
      </w:hyperlink>
      <w:r>
        <w:rPr>
          <w:sz w:val="26"/>
          <w:szCs w:val="26"/>
        </w:rPr>
        <w:t xml:space="preserve">, </w:t>
      </w:r>
      <w:hyperlink r:id="rId26" w:tooltip="consultantplus://offline/ref=FC846897312E2BD4721B2384DBE8A58C3C2A4FAB97764E8E4F2A57D7AE78929A029A8F6E61D88F281FBB3293FE6B28B11F6A190F67i3U6J" w:history="1">
        <w:r>
          <w:rPr>
            <w:sz w:val="26"/>
            <w:szCs w:val="26"/>
          </w:rPr>
          <w:t xml:space="preserve">20</w:t>
        </w:r>
      </w:hyperlink>
      <w:r>
        <w:rPr>
          <w:sz w:val="26"/>
          <w:szCs w:val="26"/>
        </w:rPr>
        <w:t xml:space="preserve"> и </w:t>
      </w:r>
      <w:hyperlink r:id="rId27" w:tooltip="consultantplus://offline/ref=FC846897312E2BD4721B2384DBE8A58C3C2A4FAB97764E8E4F2A57D7AE78929A029A8F6861DB867F4CF433CFB83E3BB21F6A1A0F7B362CD9iBU9J" w:history="1">
        <w:r>
          <w:rPr>
            <w:sz w:val="26"/>
            <w:szCs w:val="26"/>
          </w:rPr>
          <w:t xml:space="preserve">25 статьи 39.12</w:t>
        </w:r>
      </w:hyperlink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кодекса Российской Федерации </w:t>
      </w:r>
      <w:r>
        <w:rPr>
          <w:sz w:val="26"/>
          <w:szCs w:val="26"/>
        </w:rPr>
        <w:t xml:space="preserve">заключается договор купли-продажи земельного участка, находящегося в государств</w:t>
      </w:r>
      <w:r>
        <w:rPr>
          <w:sz w:val="26"/>
          <w:szCs w:val="26"/>
        </w:rPr>
        <w:t xml:space="preserve">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</w:t>
      </w:r>
      <w:r>
        <w:rPr>
          <w:rFonts w:ascii="Times New Roman" w:hAnsi="Times New Roman" w:cs="Times New Roman"/>
          <w:sz w:val="26"/>
          <w:szCs w:val="26"/>
        </w:rPr>
        <w:t xml:space="preserve">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</w:t>
      </w:r>
      <w:r>
        <w:rPr>
          <w:rFonts w:ascii="Times New Roman" w:hAnsi="Times New Roman" w:cs="Times New Roman"/>
          <w:sz w:val="26"/>
          <w:szCs w:val="26"/>
        </w:rPr>
        <w:t xml:space="preserve">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0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 w:anchor="P1349" w:history="1">
        <w:r>
          <w:rPr>
            <w:rFonts w:ascii="Times New Roman" w:hAnsi="Times New Roman" w:cs="Times New Roman"/>
            <w:sz w:val="26"/>
            <w:szCs w:val="26"/>
          </w:rPr>
          <w:t xml:space="preserve">пунктом 13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 w:anchor="P1353" w:history="1">
        <w:r>
          <w:rPr>
            <w:rFonts w:ascii="Times New Roman" w:hAnsi="Times New Roman" w:cs="Times New Roman"/>
            <w:sz w:val="26"/>
            <w:szCs w:val="26"/>
          </w:rPr>
          <w:t xml:space="preserve">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 </w:t>
      </w:r>
      <w:hyperlink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 w:anchor="P1381" w:history="1">
        <w:r>
          <w:rPr>
            <w:rFonts w:ascii="Times New Roman" w:hAnsi="Times New Roman" w:cs="Times New Roman"/>
            <w:sz w:val="26"/>
            <w:szCs w:val="26"/>
          </w:rPr>
          <w:t xml:space="preserve">20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или </w:t>
      </w:r>
      <w:hyperlink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 w:anchor="P1394" w:history="1">
        <w:r>
          <w:rPr>
            <w:rFonts w:ascii="Times New Roman" w:hAnsi="Times New Roman" w:cs="Times New Roman"/>
            <w:sz w:val="26"/>
            <w:szCs w:val="26"/>
          </w:rPr>
          <w:t xml:space="preserve">25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</w:t>
      </w:r>
      <w:r>
        <w:rPr>
          <w:rFonts w:ascii="Times New Roman" w:hAnsi="Times New Roman" w:cs="Times New Roman"/>
          <w:sz w:val="26"/>
          <w:szCs w:val="26"/>
        </w:rPr>
        <w:t xml:space="preserve">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61"/>
        <w:ind w:firstLine="708"/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Сведения о победителях </w:t>
      </w:r>
      <w:r>
        <w:rPr>
          <w:sz w:val="26"/>
          <w:szCs w:val="26"/>
        </w:rPr>
        <w:t xml:space="preserve">электронного </w:t>
      </w:r>
      <w:r>
        <w:rPr>
          <w:sz w:val="26"/>
          <w:szCs w:val="26"/>
        </w:rPr>
        <w:t xml:space="preserve">аукциона, уклонившихся от заключения договора аренды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земельного участка, являющегося предметом аукциона, и об иных лицах, с которыми указанный договор заключается в соот</w:t>
      </w:r>
      <w:r>
        <w:rPr>
          <w:sz w:val="26"/>
          <w:szCs w:val="26"/>
        </w:rPr>
        <w:t xml:space="preserve">ветствии с пунктом 13, 14, 20 или 25</w:t>
      </w:r>
      <w:r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61"/>
        <w:ind w:firstLine="720"/>
        <w:spacing w:after="0"/>
        <w:rPr>
          <w:bCs/>
          <w:iCs/>
          <w:color w:val="ff0000"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1</w:t>
      </w:r>
      <w:r>
        <w:rPr>
          <w:b/>
          <w:bCs/>
          <w:iCs/>
          <w:sz w:val="26"/>
          <w:szCs w:val="26"/>
        </w:rPr>
        <w:t xml:space="preserve">5</w:t>
      </w:r>
      <w:r>
        <w:rPr>
          <w:b/>
          <w:bCs/>
          <w:iCs/>
          <w:sz w:val="26"/>
          <w:szCs w:val="26"/>
        </w:rPr>
        <w:t xml:space="preserve">. Заключительные положения</w:t>
      </w:r>
      <w:r>
        <w:rPr>
          <w:bCs/>
          <w:iCs/>
          <w:color w:val="ff0000"/>
          <w:sz w:val="26"/>
          <w:szCs w:val="26"/>
        </w:rPr>
      </w:r>
      <w:r>
        <w:rPr>
          <w:bCs/>
          <w:iCs/>
          <w:color w:val="ff0000"/>
          <w:sz w:val="26"/>
          <w:szCs w:val="26"/>
        </w:rPr>
      </w:r>
    </w:p>
    <w:p>
      <w:pPr>
        <w:pStyle w:val="861"/>
        <w:spacing w:after="0"/>
        <w:rPr>
          <w:sz w:val="26"/>
          <w:szCs w:val="26"/>
        </w:rPr>
      </w:pPr>
      <w:r>
        <w:rPr>
          <w:bCs/>
          <w:iCs/>
          <w:color w:val="ff0000"/>
          <w:sz w:val="26"/>
          <w:szCs w:val="26"/>
        </w:rPr>
        <w:tab/>
      </w:r>
      <w:r>
        <w:rPr>
          <w:iCs/>
          <w:sz w:val="26"/>
          <w:szCs w:val="26"/>
        </w:rPr>
        <w:t xml:space="preserve">Все вопросы, касающиеся проведения процедуры, не нашедшие отражения в </w:t>
      </w:r>
      <w:r>
        <w:rPr>
          <w:iCs/>
          <w:sz w:val="26"/>
          <w:szCs w:val="26"/>
        </w:rPr>
        <w:t xml:space="preserve">настоящем извещении, регулируются законодательством Российской Федерации.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8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>
        <w:rPr>
          <w:sz w:val="26"/>
          <w:szCs w:val="26"/>
        </w:rPr>
        <w:t xml:space="preserve">фону: 20-75-18 (</w:t>
      </w:r>
      <w:r>
        <w:rPr>
          <w:sz w:val="26"/>
          <w:szCs w:val="26"/>
        </w:rPr>
        <w:t xml:space="preserve">внутр</w:t>
      </w:r>
      <w:r>
        <w:rPr>
          <w:sz w:val="26"/>
          <w:szCs w:val="26"/>
        </w:rPr>
        <w:t xml:space="preserve">. номер 501, 502</w:t>
      </w:r>
      <w:r>
        <w:rPr>
          <w:sz w:val="26"/>
          <w:szCs w:val="26"/>
        </w:rPr>
        <w:t xml:space="preserve">), в Интернете по адресу: </w:t>
      </w:r>
      <w:r>
        <w:rPr>
          <w:bCs/>
          <w:sz w:val="26"/>
          <w:szCs w:val="26"/>
        </w:rPr>
        <w:t xml:space="preserve">www.torgi.gov. </w:t>
      </w:r>
      <w:r>
        <w:rPr>
          <w:bCs/>
          <w:sz w:val="26"/>
          <w:szCs w:val="26"/>
          <w:lang w:val="en-US"/>
        </w:rPr>
        <w:t xml:space="preserve">r</w:t>
      </w:r>
      <w:r>
        <w:rPr>
          <w:bCs/>
          <w:sz w:val="26"/>
          <w:szCs w:val="26"/>
        </w:rPr>
        <w:t xml:space="preserve">u (ГИС Торги), </w:t>
      </w:r>
      <w:r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8" w:tooltip="http://www.mio.irkobl.ru" w:history="1">
        <w:r>
          <w:rPr>
            <w:rStyle w:val="868"/>
            <w:bCs/>
            <w:color w:val="auto"/>
            <w:sz w:val="26"/>
            <w:szCs w:val="26"/>
            <w:u w:val="none"/>
          </w:rPr>
          <w:t xml:space="preserve">www.mio.irkobl.</w:t>
        </w:r>
        <w:r>
          <w:rPr>
            <w:rStyle w:val="868"/>
            <w:bCs/>
            <w:color w:val="auto"/>
            <w:sz w:val="26"/>
            <w:szCs w:val="26"/>
            <w:u w:val="none"/>
            <w:lang w:val="en-US"/>
          </w:rPr>
          <w:t xml:space="preserve">r</w:t>
        </w:r>
        <w:r>
          <w:rPr>
            <w:rStyle w:val="868"/>
            <w:bCs/>
            <w:color w:val="auto"/>
            <w:sz w:val="26"/>
            <w:szCs w:val="26"/>
            <w:u w:val="none"/>
          </w:rPr>
          <w:t xml:space="preserve">u</w:t>
        </w:r>
      </w:hyperlink>
      <w:r>
        <w:rPr>
          <w:bCs/>
          <w:sz w:val="26"/>
          <w:szCs w:val="26"/>
        </w:rPr>
        <w:t xml:space="preserve">  и  сайте организатора аукциона www.irkfi. </w:t>
      </w:r>
      <w:r>
        <w:rPr>
          <w:bCs/>
          <w:sz w:val="26"/>
          <w:szCs w:val="26"/>
        </w:rPr>
        <w:t xml:space="preserve">ru</w:t>
      </w:r>
      <w:r>
        <w:rPr>
          <w:bCs/>
          <w:sz w:val="26"/>
          <w:szCs w:val="26"/>
          <w:u w:val="single"/>
        </w:rPr>
        <w:t xml:space="preserve">.</w:t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61"/>
        <w:spacing w:after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jc w:val="lef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ind w:firstLine="54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Директор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       </w:t>
      </w:r>
      <w:r>
        <w:rPr>
          <w:color w:val="000000"/>
          <w:sz w:val="26"/>
          <w:szCs w:val="26"/>
        </w:rPr>
        <w:t xml:space="preserve">                                           А.Б. Чен-Юн-Тай</w:t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</w:r>
      <w:r>
        <w:rPr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pStyle w:val="859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  <w:r>
        <w:rPr>
          <w:b/>
          <w:color w:val="000000"/>
          <w:sz w:val="26"/>
          <w:szCs w:val="26"/>
        </w:rPr>
      </w:r>
    </w:p>
    <w:p>
      <w:pPr>
        <w:rPr>
          <w:bCs/>
          <w:sz w:val="26"/>
          <w:szCs w:val="26"/>
        </w:rPr>
      </w:pP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  <w:r>
        <w:rPr>
          <w:bCs/>
          <w:sz w:val="26"/>
          <w:szCs w:val="26"/>
        </w:rPr>
      </w:r>
    </w:p>
    <w:sectPr>
      <w:footnotePr/>
      <w:endnotePr/>
      <w:type w:val="nextPage"/>
      <w:pgSz w:w="11906" w:h="16838" w:orient="portrait"/>
      <w:pgMar w:top="568" w:right="849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Courier New">
    <w:panose1 w:val="020703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5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531" w:hanging="128"/>
      </w:pPr>
      <w:rPr>
        <w:rFonts w:hint="default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203" w:hanging="495"/>
      </w:pPr>
      <w:rPr>
        <w:rFonts w:hint="default" w:cs="Times New Roman"/>
        <w:b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 w:cs="Times New Roman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 w:cs="Times New Roman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 w:cs="Times New Roman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 w:cs="Times New Roman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 w:cs="Times New Roman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 w:cs="Times New Roman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 w:cs="Times New Roman"/>
        <w:b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egacy w:legacy="1" w:legacyIndent="302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4.%1."/>
      <w:legacy w:legacy="1" w:legacyIndent="518" w:legacySpace="0"/>
      <w:lvlJc w:val="left"/>
      <w:pPr/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55"/>
    <w:next w:val="855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56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55"/>
    <w:next w:val="855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56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55"/>
    <w:next w:val="855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56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55"/>
    <w:next w:val="855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56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55"/>
    <w:next w:val="855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56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55"/>
    <w:next w:val="855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56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55"/>
    <w:next w:val="855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56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55"/>
    <w:next w:val="855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56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55"/>
    <w:next w:val="855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56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No Spacing"/>
    <w:uiPriority w:val="1"/>
    <w:qFormat/>
    <w:pPr>
      <w:spacing w:before="0" w:after="0" w:line="240" w:lineRule="auto"/>
    </w:pPr>
  </w:style>
  <w:style w:type="character" w:styleId="701">
    <w:name w:val="Title Char"/>
    <w:basedOn w:val="856"/>
    <w:link w:val="859"/>
    <w:uiPriority w:val="10"/>
    <w:rPr>
      <w:sz w:val="48"/>
      <w:szCs w:val="48"/>
    </w:rPr>
  </w:style>
  <w:style w:type="paragraph" w:styleId="702">
    <w:name w:val="Subtitle"/>
    <w:basedOn w:val="855"/>
    <w:next w:val="855"/>
    <w:link w:val="703"/>
    <w:uiPriority w:val="11"/>
    <w:qFormat/>
    <w:pPr>
      <w:spacing w:before="200" w:after="200"/>
    </w:pPr>
    <w:rPr>
      <w:sz w:val="24"/>
      <w:szCs w:val="24"/>
    </w:rPr>
  </w:style>
  <w:style w:type="character" w:styleId="703">
    <w:name w:val="Subtitle Char"/>
    <w:basedOn w:val="856"/>
    <w:link w:val="702"/>
    <w:uiPriority w:val="11"/>
    <w:rPr>
      <w:sz w:val="24"/>
      <w:szCs w:val="24"/>
    </w:rPr>
  </w:style>
  <w:style w:type="paragraph" w:styleId="704">
    <w:name w:val="Quote"/>
    <w:basedOn w:val="855"/>
    <w:next w:val="855"/>
    <w:link w:val="705"/>
    <w:uiPriority w:val="29"/>
    <w:qFormat/>
    <w:pPr>
      <w:ind w:left="720" w:right="720"/>
    </w:pPr>
    <w:rPr>
      <w:i/>
    </w:rPr>
  </w:style>
  <w:style w:type="character" w:styleId="705">
    <w:name w:val="Quote Char"/>
    <w:link w:val="704"/>
    <w:uiPriority w:val="29"/>
    <w:rPr>
      <w:i/>
    </w:rPr>
  </w:style>
  <w:style w:type="paragraph" w:styleId="706">
    <w:name w:val="Intense Quote"/>
    <w:basedOn w:val="855"/>
    <w:next w:val="855"/>
    <w:link w:val="70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7">
    <w:name w:val="Intense Quote Char"/>
    <w:link w:val="706"/>
    <w:uiPriority w:val="30"/>
    <w:rPr>
      <w:i/>
    </w:rPr>
  </w:style>
  <w:style w:type="paragraph" w:styleId="708">
    <w:name w:val="Header"/>
    <w:basedOn w:val="855"/>
    <w:link w:val="70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>
    <w:name w:val="Header Char"/>
    <w:basedOn w:val="856"/>
    <w:link w:val="708"/>
    <w:uiPriority w:val="99"/>
  </w:style>
  <w:style w:type="paragraph" w:styleId="710">
    <w:name w:val="Footer"/>
    <w:basedOn w:val="855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Footer Char"/>
    <w:basedOn w:val="856"/>
    <w:link w:val="710"/>
    <w:uiPriority w:val="99"/>
  </w:style>
  <w:style w:type="character" w:styleId="712">
    <w:name w:val="Caption Char"/>
    <w:basedOn w:val="856"/>
    <w:link w:val="887"/>
    <w:uiPriority w:val="35"/>
    <w:rPr>
      <w:b/>
      <w:bCs/>
      <w:color w:val="4f81bd" w:themeColor="accent1"/>
      <w:sz w:val="18"/>
      <w:szCs w:val="18"/>
    </w:rPr>
  </w:style>
  <w:style w:type="table" w:styleId="713">
    <w:name w:val="Table Grid Light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Plain Table 1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2"/>
    <w:basedOn w:val="8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7">
    <w:name w:val="Plain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Plain Table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9">
    <w:name w:val="Grid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1">
    <w:name w:val="Grid Table 4 - Accent 1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2">
    <w:name w:val="Grid Table 4 - Accent 2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3">
    <w:name w:val="Grid Table 4 - Accent 3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4">
    <w:name w:val="Grid Table 4 - Accent 4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5">
    <w:name w:val="Grid Table 4 - Accent 5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6">
    <w:name w:val="Grid Table 4 - Accent 6"/>
    <w:basedOn w:val="8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7">
    <w:name w:val="Grid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1">
    <w:name w:val="Grid Table 5 Dark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4">
    <w:name w:val="Grid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5">
    <w:name w:val="Grid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6">
    <w:name w:val="Grid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7">
    <w:name w:val="Grid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8">
    <w:name w:val="Grid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9">
    <w:name w:val="Grid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0">
    <w:name w:val="Grid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6">
    <w:name w:val="List Table 2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7">
    <w:name w:val="List Table 2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8">
    <w:name w:val="List Table 2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9">
    <w:name w:val="List Table 2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0">
    <w:name w:val="List Table 2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1">
    <w:name w:val="List Table 2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2">
    <w:name w:val="List Table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5 Dark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6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4">
    <w:name w:val="List Table 6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5">
    <w:name w:val="List Table 6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6">
    <w:name w:val="List Table 6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7">
    <w:name w:val="List Table 6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8">
    <w:name w:val="List Table 6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9">
    <w:name w:val="List Table 6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0">
    <w:name w:val="List Table 7 Colorful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1">
    <w:name w:val="List Table 7 Colorful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2">
    <w:name w:val="List Table 7 Colorful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3">
    <w:name w:val="List Table 7 Colorful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4">
    <w:name w:val="List Table 7 Colorful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5">
    <w:name w:val="List Table 7 Colorful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6">
    <w:name w:val="List Table 7 Colorful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7">
    <w:name w:val="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8">
    <w:name w:val="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9">
    <w:name w:val="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0">
    <w:name w:val="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1">
    <w:name w:val="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2">
    <w:name w:val="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3">
    <w:name w:val="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4">
    <w:name w:val="Bordered &amp; Lined - Accent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Bordered &amp; Lined - Accent 1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Bordered &amp; Lined - Accent 2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Bordered &amp; Lined - Accent 3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Bordered &amp; Lined - Accent 4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Bordered &amp; Lined - Accent 5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Bordered &amp; Lined - Accent 6"/>
    <w:basedOn w:val="8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2">
    <w:name w:val="Bordered - Accent 1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3">
    <w:name w:val="Bordered - Accent 2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4">
    <w:name w:val="Bordered - Accent 3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5">
    <w:name w:val="Bordered - Accent 4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6">
    <w:name w:val="Bordered - Accent 5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7">
    <w:name w:val="Bordered - Accent 6"/>
    <w:basedOn w:val="8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8">
    <w:name w:val="footnote text"/>
    <w:basedOn w:val="855"/>
    <w:link w:val="839"/>
    <w:uiPriority w:val="99"/>
    <w:semiHidden/>
    <w:unhideWhenUsed/>
    <w:pPr>
      <w:spacing w:after="40" w:line="240" w:lineRule="auto"/>
    </w:pPr>
    <w:rPr>
      <w:sz w:val="18"/>
    </w:rPr>
  </w:style>
  <w:style w:type="character" w:styleId="839">
    <w:name w:val="Footnote Text Char"/>
    <w:link w:val="838"/>
    <w:uiPriority w:val="99"/>
    <w:rPr>
      <w:sz w:val="18"/>
    </w:rPr>
  </w:style>
  <w:style w:type="character" w:styleId="840">
    <w:name w:val="footnote reference"/>
    <w:basedOn w:val="856"/>
    <w:uiPriority w:val="99"/>
    <w:unhideWhenUsed/>
    <w:rPr>
      <w:vertAlign w:val="superscript"/>
    </w:rPr>
  </w:style>
  <w:style w:type="paragraph" w:styleId="841">
    <w:name w:val="endnote text"/>
    <w:basedOn w:val="855"/>
    <w:link w:val="842"/>
    <w:uiPriority w:val="99"/>
    <w:semiHidden/>
    <w:unhideWhenUsed/>
    <w:pPr>
      <w:spacing w:after="0" w:line="240" w:lineRule="auto"/>
    </w:pPr>
    <w:rPr>
      <w:sz w:val="20"/>
    </w:rPr>
  </w:style>
  <w:style w:type="character" w:styleId="842">
    <w:name w:val="Endnote Text Char"/>
    <w:link w:val="841"/>
    <w:uiPriority w:val="99"/>
    <w:rPr>
      <w:sz w:val="20"/>
    </w:rPr>
  </w:style>
  <w:style w:type="character" w:styleId="843">
    <w:name w:val="endnote reference"/>
    <w:basedOn w:val="856"/>
    <w:uiPriority w:val="99"/>
    <w:semiHidden/>
    <w:unhideWhenUsed/>
    <w:rPr>
      <w:vertAlign w:val="superscript"/>
    </w:rPr>
  </w:style>
  <w:style w:type="paragraph" w:styleId="844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5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6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7">
    <w:name w:val="toc 4"/>
    <w:basedOn w:val="855"/>
    <w:next w:val="855"/>
    <w:uiPriority w:val="39"/>
    <w:unhideWhenUsed/>
    <w:pPr>
      <w:ind w:left="850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  <w:rPr>
      <w:sz w:val="24"/>
      <w:szCs w:val="24"/>
    </w:rPr>
  </w:style>
  <w:style w:type="character" w:styleId="856" w:default="1">
    <w:name w:val="Default Paragraph Font"/>
    <w:uiPriority w:val="1"/>
    <w:semiHidden/>
    <w:unhideWhenUsed/>
  </w:style>
  <w:style w:type="table" w:styleId="8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8" w:default="1">
    <w:name w:val="No List"/>
    <w:uiPriority w:val="99"/>
    <w:semiHidden/>
    <w:unhideWhenUsed/>
  </w:style>
  <w:style w:type="paragraph" w:styleId="859">
    <w:name w:val="Title"/>
    <w:basedOn w:val="855"/>
    <w:link w:val="875"/>
    <w:uiPriority w:val="99"/>
    <w:qFormat/>
    <w:pPr>
      <w:jc w:val="center"/>
    </w:pPr>
    <w:rPr>
      <w:bCs/>
      <w:szCs w:val="20"/>
    </w:rPr>
  </w:style>
  <w:style w:type="paragraph" w:styleId="860" w:customStyle="1">
    <w:name w:val="ConsPlusTitle"/>
    <w:rPr>
      <w:b/>
      <w:bCs/>
      <w:sz w:val="24"/>
      <w:szCs w:val="24"/>
    </w:rPr>
  </w:style>
  <w:style w:type="paragraph" w:styleId="861">
    <w:name w:val="Body Text"/>
    <w:basedOn w:val="855"/>
    <w:link w:val="867"/>
    <w:pPr>
      <w:jc w:val="both"/>
      <w:spacing w:after="120"/>
      <w:widowControl w:val="off"/>
    </w:pPr>
    <w:rPr>
      <w:sz w:val="28"/>
      <w:szCs w:val="20"/>
    </w:rPr>
  </w:style>
  <w:style w:type="paragraph" w:styleId="862" w:customStyle="1">
    <w:name w:val="Таблицы (моноширинный)"/>
    <w:basedOn w:val="855"/>
    <w:next w:val="855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863">
    <w:name w:val="Body Text 2"/>
    <w:basedOn w:val="855"/>
    <w:link w:val="878"/>
    <w:rPr>
      <w:sz w:val="26"/>
      <w:szCs w:val="20"/>
    </w:rPr>
  </w:style>
  <w:style w:type="paragraph" w:styleId="864">
    <w:name w:val="Body Text Indent"/>
    <w:basedOn w:val="855"/>
    <w:link w:val="876"/>
    <w:pPr>
      <w:ind w:firstLine="360"/>
    </w:pPr>
    <w:rPr>
      <w:sz w:val="26"/>
      <w:szCs w:val="20"/>
    </w:rPr>
  </w:style>
  <w:style w:type="paragraph" w:styleId="865">
    <w:name w:val="Body Text Indent 2"/>
    <w:basedOn w:val="855"/>
    <w:link w:val="877"/>
    <w:pPr>
      <w:ind w:firstLine="709"/>
      <w:jc w:val="both"/>
    </w:pPr>
    <w:rPr>
      <w:sz w:val="28"/>
      <w:szCs w:val="20"/>
    </w:rPr>
  </w:style>
  <w:style w:type="paragraph" w:styleId="866" w:customStyle="1">
    <w:name w:val="ConsPlusNonformat"/>
    <w:rPr>
      <w:rFonts w:ascii="Courier New" w:hAnsi="Courier New" w:cs="Courier New"/>
    </w:rPr>
  </w:style>
  <w:style w:type="character" w:styleId="867" w:customStyle="1">
    <w:name w:val="Основной текст Знак"/>
    <w:basedOn w:val="856"/>
    <w:link w:val="861"/>
    <w:rPr>
      <w:rFonts w:cs="Times New Roman"/>
      <w:sz w:val="28"/>
      <w:lang w:val="ru-RU" w:eastAsia="ru-RU" w:bidi="ar-SA"/>
    </w:rPr>
  </w:style>
  <w:style w:type="character" w:styleId="868">
    <w:name w:val="Hyperlink"/>
    <w:basedOn w:val="856"/>
    <w:rPr>
      <w:rFonts w:cs="Times New Roman"/>
      <w:color w:val="0000ff"/>
      <w:u w:val="single"/>
    </w:rPr>
  </w:style>
  <w:style w:type="paragraph" w:styleId="869">
    <w:name w:val="Balloon Text"/>
    <w:basedOn w:val="855"/>
    <w:semiHidden/>
    <w:rPr>
      <w:rFonts w:ascii="Tahoma" w:hAnsi="Tahoma" w:cs="Tahoma"/>
      <w:sz w:val="16"/>
      <w:szCs w:val="16"/>
    </w:rPr>
  </w:style>
  <w:style w:type="paragraph" w:styleId="870" w:customStyle="1">
    <w:name w:val="ConsPlusNormal"/>
    <w:pPr>
      <w:ind w:firstLine="720"/>
    </w:pPr>
    <w:rPr>
      <w:rFonts w:ascii="Arial" w:hAnsi="Arial" w:cs="Arial"/>
    </w:rPr>
  </w:style>
  <w:style w:type="paragraph" w:styleId="871" w:customStyle="1">
    <w:name w:val="Style3"/>
    <w:basedOn w:val="855"/>
    <w:pPr>
      <w:ind w:firstLine="706"/>
      <w:jc w:val="both"/>
      <w:spacing w:line="322" w:lineRule="exact"/>
      <w:widowControl w:val="off"/>
    </w:pPr>
  </w:style>
  <w:style w:type="character" w:styleId="872" w:customStyle="1">
    <w:name w:val="Font Style11"/>
    <w:basedOn w:val="856"/>
    <w:rPr>
      <w:rFonts w:ascii="Times New Roman" w:hAnsi="Times New Roman" w:cs="Times New Roman"/>
      <w:b/>
      <w:bCs/>
      <w:sz w:val="26"/>
      <w:szCs w:val="26"/>
    </w:rPr>
  </w:style>
  <w:style w:type="character" w:styleId="873" w:customStyle="1">
    <w:name w:val="Font Style12"/>
    <w:basedOn w:val="856"/>
    <w:rPr>
      <w:rFonts w:ascii="Times New Roman" w:hAnsi="Times New Roman" w:cs="Times New Roman"/>
      <w:sz w:val="26"/>
      <w:szCs w:val="26"/>
    </w:rPr>
  </w:style>
  <w:style w:type="character" w:styleId="874" w:customStyle="1">
    <w:name w:val="Основной текст + Полужирный"/>
    <w:basedOn w:val="856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75" w:customStyle="1">
    <w:name w:val="Заголовок Знак"/>
    <w:basedOn w:val="856"/>
    <w:link w:val="859"/>
    <w:uiPriority w:val="99"/>
    <w:rPr>
      <w:rFonts w:cs="Times New Roman"/>
      <w:bCs/>
      <w:sz w:val="24"/>
    </w:rPr>
  </w:style>
  <w:style w:type="character" w:styleId="876" w:customStyle="1">
    <w:name w:val="Основной текст с отступом Знак"/>
    <w:basedOn w:val="856"/>
    <w:link w:val="864"/>
    <w:rPr>
      <w:rFonts w:cs="Times New Roman"/>
      <w:sz w:val="26"/>
    </w:rPr>
  </w:style>
  <w:style w:type="character" w:styleId="877" w:customStyle="1">
    <w:name w:val="Основной текст с отступом 2 Знак"/>
    <w:basedOn w:val="856"/>
    <w:link w:val="865"/>
    <w:rPr>
      <w:rFonts w:cs="Times New Roman"/>
      <w:sz w:val="28"/>
    </w:rPr>
  </w:style>
  <w:style w:type="character" w:styleId="878" w:customStyle="1">
    <w:name w:val="Основной текст 2 Знак"/>
    <w:link w:val="863"/>
    <w:rPr>
      <w:sz w:val="26"/>
    </w:rPr>
  </w:style>
  <w:style w:type="paragraph" w:styleId="879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0" w:customStyle="1">
    <w:name w:val="Абзац списка1"/>
    <w:basedOn w:val="855"/>
    <w:pPr>
      <w:ind w:left="72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881" w:customStyle="1">
    <w:name w:val="s_13"/>
    <w:basedOn w:val="855"/>
    <w:pPr>
      <w:ind w:firstLine="720"/>
    </w:pPr>
  </w:style>
  <w:style w:type="paragraph" w:styleId="882" w:customStyle="1">
    <w:name w:val="Без интервала1"/>
    <w:rPr>
      <w:rFonts w:ascii="Calibri" w:hAnsi="Calibri"/>
      <w:sz w:val="22"/>
      <w:szCs w:val="22"/>
      <w:lang w:eastAsia="en-US"/>
    </w:rPr>
  </w:style>
  <w:style w:type="paragraph" w:styleId="883" w:customStyle="1">
    <w:name w:val="Без интервала2"/>
    <w:rPr>
      <w:rFonts w:ascii="Calibri" w:hAnsi="Calibri"/>
      <w:sz w:val="22"/>
      <w:szCs w:val="22"/>
      <w:lang w:eastAsia="en-US"/>
    </w:rPr>
  </w:style>
  <w:style w:type="paragraph" w:styleId="884">
    <w:name w:val="Body Text 3"/>
    <w:basedOn w:val="855"/>
    <w:link w:val="885"/>
    <w:pPr>
      <w:spacing w:after="120"/>
    </w:pPr>
    <w:rPr>
      <w:sz w:val="16"/>
      <w:szCs w:val="16"/>
    </w:rPr>
  </w:style>
  <w:style w:type="character" w:styleId="885" w:customStyle="1">
    <w:name w:val="Основной текст 3 Знак"/>
    <w:basedOn w:val="856"/>
    <w:link w:val="884"/>
    <w:rPr>
      <w:sz w:val="16"/>
      <w:szCs w:val="16"/>
    </w:rPr>
  </w:style>
  <w:style w:type="paragraph" w:styleId="886">
    <w:name w:val="List Paragraph"/>
    <w:basedOn w:val="855"/>
    <w:link w:val="892"/>
    <w:uiPriority w:val="34"/>
    <w:qFormat/>
    <w:pPr>
      <w:contextualSpacing/>
      <w:ind w:left="720"/>
    </w:pPr>
  </w:style>
  <w:style w:type="paragraph" w:styleId="887">
    <w:name w:val="Caption"/>
    <w:basedOn w:val="855"/>
    <w:next w:val="855"/>
    <w:link w:val="712"/>
    <w:semiHidden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styleId="888">
    <w:name w:val="Table Grid"/>
    <w:basedOn w:val="85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9" w:customStyle="1">
    <w:name w:val="Термин"/>
    <w:basedOn w:val="855"/>
    <w:pPr>
      <w:ind w:left="567"/>
      <w:jc w:val="both"/>
      <w:spacing w:line="100" w:lineRule="atLeast"/>
    </w:pPr>
    <w:rPr>
      <w:rFonts w:cs="Courier New"/>
      <w:sz w:val="26"/>
      <w:szCs w:val="20"/>
      <w:lang w:eastAsia="ar-SA"/>
    </w:rPr>
  </w:style>
  <w:style w:type="character" w:styleId="890" w:customStyle="1">
    <w:name w:val="WW8Num1z0"/>
  </w:style>
  <w:style w:type="character" w:styleId="891" w:customStyle="1">
    <w:name w:val="Основной шрифт абзаца1"/>
  </w:style>
  <w:style w:type="character" w:styleId="892" w:customStyle="1">
    <w:name w:val="Абзац списка Знак"/>
    <w:link w:val="886"/>
    <w:uiPriority w:val="34"/>
    <w:rPr>
      <w:sz w:val="24"/>
      <w:szCs w:val="24"/>
    </w:rPr>
  </w:style>
  <w:style w:type="character" w:styleId="893">
    <w:name w:val="Strong"/>
    <w:basedOn w:val="856"/>
    <w:uiPriority w:val="22"/>
    <w:qFormat/>
    <w:rPr>
      <w:b/>
      <w:bCs/>
    </w:rPr>
  </w:style>
  <w:style w:type="character" w:styleId="894">
    <w:name w:val="Emphasis"/>
    <w:uiPriority w:val="20"/>
    <w:qFormat/>
    <w:rPr>
      <w:rFonts w:cs="Times New Roman"/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sberbank-ast.ru" TargetMode="External"/><Relationship Id="rId11" Type="http://schemas.openxmlformats.org/officeDocument/2006/relationships/hyperlink" Target="http://sberbank-ast.ru" TargetMode="External"/><Relationship Id="rId12" Type="http://schemas.openxmlformats.org/officeDocument/2006/relationships/hyperlink" Target="mailto:info@sberbank-ast.ru" TargetMode="External"/><Relationship Id="rId13" Type="http://schemas.openxmlformats.org/officeDocument/2006/relationships/hyperlink" Target="http://sberbank-ast.ru" TargetMode="External"/><Relationship Id="rId1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1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19" Type="http://schemas.openxmlformats.org/officeDocument/2006/relationships/hyperlink" Target="http://sberbank-ast.ru" TargetMode="External"/><Relationship Id="rId20" Type="http://schemas.openxmlformats.org/officeDocument/2006/relationships/hyperlink" Target="http://sberbank-ast.ru" TargetMode="External"/><Relationship Id="rId21" Type="http://schemas.openxmlformats.org/officeDocument/2006/relationships/hyperlink" Target="consultantplus://offline/ref=ACBC04675D45A7319E4896355D993A4826746042F3CB2CBB1E8429029F34B456AD46430754CDA9B6A2FD79FD81QEfFJ" TargetMode="External"/><Relationship Id="rId22" Type="http://schemas.openxmlformats.org/officeDocument/2006/relationships/hyperlink" Target="http://sberbank-ast.ru" TargetMode="External"/><Relationship Id="rId23" Type="http://schemas.openxmlformats.org/officeDocument/2006/relationships/hyperlink" Target="http://www.mio.irkobl.ru" TargetMode="External"/><Relationship Id="rId24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25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6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27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28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D03B6-426D-4351-B8BA-AE32053A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s.cherepanova</cp:lastModifiedBy>
  <cp:revision>37</cp:revision>
  <dcterms:created xsi:type="dcterms:W3CDTF">2025-08-05T03:08:00Z</dcterms:created>
  <dcterms:modified xsi:type="dcterms:W3CDTF">2026-10-16T02:33:54Z</dcterms:modified>
</cp:coreProperties>
</file>