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ind w:left="-142" w:firstLine="5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Извещения 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проведении электронного аукциона на право заключения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договора на размещение нестационарного торгового объекта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142"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сайт 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www.</w:t>
      </w:r>
      <w:r>
        <w:rPr>
          <w:b w:val="0"/>
          <w:bCs w:val="0"/>
          <w:sz w:val="28"/>
          <w:szCs w:val="28"/>
        </w:rPr>
        <w:t xml:space="preserve">torgi.</w:t>
      </w:r>
      <w:r>
        <w:rPr>
          <w:b w:val="0"/>
          <w:bCs w:val="0"/>
          <w:sz w:val="28"/>
          <w:szCs w:val="28"/>
        </w:rPr>
        <w:t xml:space="preserve">gov.</w:t>
      </w:r>
      <w:r>
        <w:rPr>
          <w:b w:val="0"/>
          <w:bCs w:val="0"/>
          <w:sz w:val="28"/>
          <w:szCs w:val="28"/>
          <w:lang w:val="en-US"/>
        </w:rPr>
        <w:t xml:space="preserve">r</w:t>
      </w:r>
      <w:r>
        <w:rPr>
          <w:b w:val="0"/>
          <w:bCs w:val="0"/>
          <w:sz w:val="28"/>
          <w:szCs w:val="28"/>
        </w:rPr>
        <w:t xml:space="preserve">u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,</w:t>
      </w:r>
      <w:hyperlink r:id="rId10" w:tooltip="http://www.irkfi.ru" w:history="1">
        <w:r>
          <w:rPr>
            <w:rStyle w:val="936"/>
            <w:sz w:val="28"/>
            <w:szCs w:val="28"/>
            <w:lang w:val="en-US"/>
          </w:rPr>
          <w:t xml:space="preserve">www</w:t>
        </w:r>
        <w:r>
          <w:rPr>
            <w:rStyle w:val="936"/>
            <w:sz w:val="28"/>
            <w:szCs w:val="28"/>
          </w:rPr>
          <w:t xml:space="preserve">.</w:t>
        </w:r>
        <w:r>
          <w:rPr>
            <w:rStyle w:val="936"/>
            <w:sz w:val="28"/>
            <w:szCs w:val="28"/>
            <w:lang w:val="en-US"/>
          </w:rPr>
          <w:t xml:space="preserve">irkfi</w:t>
        </w:r>
        <w:r>
          <w:rPr>
            <w:rStyle w:val="936"/>
            <w:sz w:val="28"/>
            <w:szCs w:val="28"/>
          </w:rPr>
          <w:t xml:space="preserve">.</w:t>
        </w:r>
        <w:r>
          <w:rPr>
            <w:rStyle w:val="936"/>
            <w:sz w:val="28"/>
            <w:szCs w:val="28"/>
            <w:lang w:val="en-US"/>
          </w:rPr>
          <w:t xml:space="preserve">ru</w:t>
        </w:r>
      </w:hyperlink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  <w:u w:val="single"/>
        </w:rPr>
        <w:t xml:space="preserve">www.mio.irkobl.ru,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142"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left="-142" w:firstLine="709"/>
        <w:jc w:val="both"/>
        <w:spacing w:line="240" w:lineRule="auto"/>
        <w:rPr>
          <w:b/>
          <w:bCs/>
          <w:sz w:val="26"/>
          <w:szCs w:val="26"/>
        </w:rPr>
        <w:suppressLineNumbers w:val="0"/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 w:val="0"/>
        <w:ind w:left="-142" w:firstLine="709"/>
        <w:jc w:val="both"/>
        <w:spacing w:line="240" w:lineRule="auto"/>
        <w:rPr>
          <w:b/>
          <w:bCs/>
          <w:sz w:val="26"/>
          <w:szCs w:val="26"/>
        </w:rPr>
        <w:suppressLineNumbers w:val="0"/>
      </w:pPr>
      <w:r>
        <w:rPr>
          <w:b/>
          <w:bCs/>
          <w:sz w:val="26"/>
          <w:szCs w:val="26"/>
        </w:rPr>
        <w:t xml:space="preserve">1. Организатор электронного аукциона </w:t>
      </w:r>
      <w:r>
        <w:rPr>
          <w:sz w:val="26"/>
          <w:szCs w:val="26"/>
        </w:rPr>
        <w:t xml:space="preserve">ОГКУ</w:t>
      </w:r>
      <w:r>
        <w:rPr>
          <w:bCs/>
          <w:sz w:val="26"/>
          <w:szCs w:val="26"/>
        </w:rPr>
        <w:t xml:space="preserve"> «Фонд имущества Иркутской области»</w:t>
      </w:r>
      <w:r>
        <w:rPr>
          <w:sz w:val="26"/>
          <w:szCs w:val="26"/>
        </w:rPr>
        <w:t xml:space="preserve"> на основании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распоряжения Министерства имущественных</w:t>
      </w:r>
      <w:r>
        <w:rPr>
          <w:sz w:val="26"/>
          <w:szCs w:val="26"/>
        </w:rPr>
        <w:t xml:space="preserve"> отношений Иркутской области от 07 июля 2026 г. № 51-1132-мр/з «О проведении аукциона на право заключения договора на размещение нестационарного торгового объекта», письма министерства имущественных отношений Иркутской области от 04.09.2026 №02-51-10135/26</w:t>
      </w:r>
      <w:r>
        <w:rPr>
          <w:bCs/>
          <w:sz w:val="26"/>
          <w:szCs w:val="26"/>
        </w:rPr>
        <w:t xml:space="preserve"> повторно </w:t>
      </w:r>
      <w:r>
        <w:rPr>
          <w:bCs/>
          <w:sz w:val="26"/>
          <w:szCs w:val="26"/>
        </w:rPr>
        <w:t xml:space="preserve">проводит электронный аукцион </w:t>
      </w:r>
      <w:r>
        <w:rPr>
          <w:sz w:val="26"/>
          <w:szCs w:val="26"/>
        </w:rPr>
        <w:t xml:space="preserve">на право заключения договора на размещение нестационарного торгового объекта (далее – НТО) </w:t>
      </w:r>
      <w:r>
        <w:rPr>
          <w:rFonts w:hint="eastAsia"/>
          <w:sz w:val="26"/>
          <w:szCs w:val="26"/>
        </w:rPr>
        <w:t xml:space="preserve">на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емельных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участках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государственная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собственность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которые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не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eastAsia="Times New Roman" w:cs="Times New Roman"/>
          <w:sz w:val="26"/>
          <w:szCs w:val="26"/>
        </w:rPr>
        <w:t xml:space="preserve">разграничена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расположенных на территории Иркутского муниципального округа Иркутской области, государственная собственность на которые не разграничена</w:t>
      </w:r>
      <w:r>
        <w:rPr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 w:val="0"/>
        <w:ind w:left="-142" w:firstLine="709"/>
        <w:jc w:val="both"/>
        <w:spacing w:line="240" w:lineRule="auto"/>
        <w:rPr>
          <w:rFonts w:eastAsia="Arial Unicode MS"/>
          <w:sz w:val="26"/>
          <w:szCs w:val="26"/>
          <w:highlight w:val="none"/>
        </w:rPr>
        <w:suppressLineNumbers w:val="0"/>
      </w:pPr>
      <w:r>
        <w:rPr>
          <w:sz w:val="26"/>
          <w:szCs w:val="26"/>
        </w:rPr>
        <w:t xml:space="preserve">Электронный аукцион является открытым по составу участников и открытый по форме </w:t>
      </w:r>
      <w:r>
        <w:rPr>
          <w:color w:val="000000"/>
          <w:sz w:val="26"/>
          <w:szCs w:val="26"/>
        </w:rPr>
        <w:t xml:space="preserve">подачи </w:t>
      </w:r>
      <w:r>
        <w:rPr>
          <w:sz w:val="26"/>
          <w:szCs w:val="26"/>
        </w:rPr>
        <w:t xml:space="preserve">предложений о размере ежегодной платы </w:t>
      </w:r>
      <w:r>
        <w:rPr>
          <w:rFonts w:eastAsia="Arial Unicode MS"/>
          <w:sz w:val="26"/>
          <w:szCs w:val="26"/>
        </w:rPr>
        <w:t xml:space="preserve">за право на размещение нестационарного торгового объекта</w:t>
      </w:r>
      <w:r>
        <w:rPr>
          <w:rFonts w:eastAsia="Arial Unicode MS"/>
          <w:sz w:val="26"/>
          <w:szCs w:val="26"/>
        </w:rPr>
        <w:t xml:space="preserve">.</w:t>
      </w:r>
      <w:r>
        <w:rPr>
          <w:rFonts w:eastAsia="Arial Unicode MS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  <w:highlight w:val="none"/>
        </w:rPr>
      </w:r>
      <w:r>
        <w:rPr>
          <w:rFonts w:eastAsia="Arial Unicode MS"/>
          <w:sz w:val="26"/>
          <w:szCs w:val="26"/>
          <w:highlight w:val="none"/>
        </w:rPr>
      </w:r>
    </w:p>
    <w:p>
      <w:pPr>
        <w:contextualSpacing w:val="0"/>
        <w:ind w:left="-142" w:firstLine="709"/>
        <w:jc w:val="both"/>
        <w:spacing w:line="240" w:lineRule="auto"/>
        <w:rPr>
          <w:rFonts w:eastAsia="Arial Unicode MS"/>
          <w:sz w:val="26"/>
          <w:szCs w:val="26"/>
        </w:rPr>
        <w:suppressLineNumbers w:val="0"/>
      </w:pPr>
      <w:r>
        <w:rPr>
          <w:rFonts w:eastAsia="Arial Unicode MS"/>
          <w:sz w:val="26"/>
          <w:szCs w:val="26"/>
          <w:highlight w:val="none"/>
        </w:rPr>
      </w:r>
      <w:r>
        <w:rPr>
          <w:rFonts w:eastAsia="Arial Unicode MS"/>
          <w:sz w:val="26"/>
          <w:szCs w:val="26"/>
        </w:rPr>
      </w:r>
      <w:r>
        <w:rPr>
          <w:rFonts w:eastAsia="Arial Unicode MS"/>
          <w:sz w:val="26"/>
          <w:szCs w:val="26"/>
        </w:rPr>
      </w:r>
    </w:p>
    <w:p>
      <w:pPr>
        <w:pStyle w:val="914"/>
        <w:contextualSpacing w:val="0"/>
        <w:ind w:left="709" w:right="0" w:firstLine="0"/>
        <w:jc w:val="both"/>
        <w:spacing w:after="0" w:line="240" w:lineRule="auto"/>
        <w:rPr>
          <w:b/>
          <w:bCs/>
          <w:color w:val="1c1c1c"/>
          <w:sz w:val="26"/>
          <w:szCs w:val="26"/>
        </w:rPr>
        <w:suppressLineNumbers w:val="0"/>
      </w:pPr>
      <w:r>
        <w:rPr>
          <w:b/>
          <w:bCs/>
          <w:color w:val="1c1c1c"/>
          <w:sz w:val="26"/>
          <w:szCs w:val="26"/>
        </w:rPr>
        <w:t xml:space="preserve">2. 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914"/>
        <w:contextualSpacing w:val="0"/>
        <w:ind w:left="142" w:right="0" w:firstLine="567"/>
        <w:jc w:val="both"/>
        <w:spacing w:after="0" w:line="240" w:lineRule="auto"/>
        <w:rPr>
          <w:b/>
          <w:bCs/>
          <w:color w:val="1c1c1c"/>
          <w:sz w:val="26"/>
          <w:szCs w:val="26"/>
        </w:rPr>
        <w:suppressLineNumbers w:val="0"/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914"/>
        <w:numPr>
          <w:ilvl w:val="0"/>
          <w:numId w:val="25"/>
        </w:numPr>
        <w:contextualSpacing w:val="0"/>
        <w:ind w:left="28" w:right="0" w:firstLine="567"/>
        <w:jc w:val="both"/>
        <w:keepLines w:val="0"/>
        <w:spacing w:after="0" w:line="240" w:lineRule="auto"/>
        <w:rPr>
          <w:rFonts w:ascii="Times New Roman" w:hAnsi="Times New Roman" w:cs="Times New Roman"/>
          <w:bCs/>
          <w:color w:val="1c1c1c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color w:val="1c1c1c"/>
          <w:sz w:val="26"/>
          <w:szCs w:val="26"/>
        </w:rPr>
        <w:t xml:space="preserve">Наименование:</w:t>
      </w: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rFonts w:ascii="Times New Roman" w:hAnsi="Times New Roman" w:cs="Times New Roman"/>
          <w:bCs/>
          <w:color w:val="1c1c1c"/>
          <w:sz w:val="26"/>
          <w:szCs w:val="26"/>
        </w:rPr>
      </w:r>
      <w:r>
        <w:rPr>
          <w:rFonts w:ascii="Times New Roman" w:hAnsi="Times New Roman" w:cs="Times New Roman"/>
          <w:bCs/>
          <w:color w:val="1c1c1c"/>
          <w:sz w:val="26"/>
          <w:szCs w:val="26"/>
        </w:rPr>
      </w:r>
    </w:p>
    <w:p>
      <w:pPr>
        <w:pStyle w:val="924"/>
        <w:numPr>
          <w:ilvl w:val="0"/>
          <w:numId w:val="25"/>
        </w:numPr>
        <w:contextualSpacing w:val="0"/>
        <w:ind w:left="28" w:right="0" w:firstLine="567"/>
        <w:jc w:val="both"/>
        <w:keepLines w:val="0"/>
        <w:spacing w:line="240" w:lineRule="auto"/>
        <w:rPr>
          <w:rFonts w:ascii="Times New Roman" w:hAnsi="Times New Roman" w:cs="Times New Roman"/>
          <w:color w:val="auto"/>
          <w:sz w:val="26"/>
          <w:szCs w:val="26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Место подачи (приема) заявок: электронная площадка </w:t>
      </w:r>
      <w:r>
        <w:rPr>
          <w:rFonts w:ascii="Times New Roman" w:hAnsi="Times New Roman" w:eastAsia="Times New Roman" w:cs="Times New Roman"/>
          <w:b/>
          <w:sz w:val="26"/>
          <w:szCs w:val="26"/>
          <w:lang w:val="en-US"/>
        </w:rPr>
        <w:t xml:space="preserve">utp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Fonts w:ascii="Times New Roman" w:hAnsi="Times New Roman" w:cs="Times New Roman"/>
          <w:color w:val="auto"/>
          <w:sz w:val="26"/>
          <w:szCs w:val="26"/>
          <w:u w:val="none"/>
        </w:rPr>
      </w:r>
      <w:r>
        <w:rPr>
          <w:rFonts w:ascii="Times New Roman" w:hAnsi="Times New Roman" w:cs="Times New Roman"/>
          <w:color w:val="auto"/>
          <w:sz w:val="26"/>
          <w:szCs w:val="26"/>
          <w:u w:val="none"/>
        </w:rPr>
      </w:r>
    </w:p>
    <w:p>
      <w:pPr>
        <w:pStyle w:val="924"/>
        <w:numPr>
          <w:ilvl w:val="0"/>
          <w:numId w:val="25"/>
        </w:numPr>
        <w:contextualSpacing w:val="0"/>
        <w:ind w:left="28" w:right="0" w:firstLine="567"/>
        <w:jc w:val="both"/>
        <w:keepLines w:val="0"/>
        <w:spacing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Адрес (место нахождение): 119435,г.Москва, Большой Саввинский переулок, дом 12,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стр.,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эт.1, пом. 1, комн.2.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4"/>
        <w:contextualSpacing w:val="0"/>
        <w:ind w:left="142" w:right="0" w:firstLine="567"/>
        <w:jc w:val="both"/>
        <w:spacing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936"/>
            <w:rFonts w:ascii="Times New Roman" w:hAnsi="Times New Roman" w:eastAsia="Times New Roman" w:cs="Times New Roman"/>
            <w:sz w:val="26"/>
            <w:szCs w:val="26"/>
            <w:lang w:val="en-US"/>
          </w:rPr>
          <w:t xml:space="preserve">info</w:t>
        </w:r>
        <w:r>
          <w:rPr>
            <w:rStyle w:val="936"/>
            <w:rFonts w:ascii="Times New Roman" w:hAnsi="Times New Roman" w:eastAsia="Times New Roman" w:cs="Times New Roman"/>
            <w:sz w:val="26"/>
            <w:szCs w:val="26"/>
          </w:rPr>
          <w:t xml:space="preserve">@</w:t>
        </w:r>
        <w:r>
          <w:rPr>
            <w:rStyle w:val="936"/>
            <w:rFonts w:ascii="Times New Roman" w:hAnsi="Times New Roman" w:eastAsia="Times New Roman" w:cs="Times New Roman"/>
            <w:sz w:val="26"/>
            <w:szCs w:val="26"/>
            <w:lang w:val="en-US"/>
          </w:rPr>
          <w:t xml:space="preserve">sberbank</w:t>
        </w:r>
        <w:r>
          <w:rPr>
            <w:rStyle w:val="936"/>
            <w:rFonts w:ascii="Times New Roman" w:hAnsi="Times New Roman" w:eastAsia="Times New Roman" w:cs="Times New Roman"/>
            <w:sz w:val="26"/>
            <w:szCs w:val="26"/>
          </w:rPr>
          <w:t xml:space="preserve">-</w:t>
        </w:r>
        <w:r>
          <w:rPr>
            <w:rStyle w:val="936"/>
            <w:rFonts w:ascii="Times New Roman" w:hAnsi="Times New Roman" w:eastAsia="Times New Roman" w:cs="Times New Roman"/>
            <w:sz w:val="26"/>
            <w:szCs w:val="26"/>
            <w:lang w:val="en-US"/>
          </w:rPr>
          <w:t xml:space="preserve">ast</w:t>
        </w:r>
        <w:r>
          <w:rPr>
            <w:rStyle w:val="936"/>
            <w:rFonts w:ascii="Times New Roman" w:hAnsi="Times New Roman" w:eastAsia="Times New Roman" w:cs="Times New Roman"/>
            <w:sz w:val="26"/>
            <w:szCs w:val="26"/>
          </w:rPr>
          <w:t xml:space="preserve">.</w:t>
        </w:r>
        <w:r>
          <w:rPr>
            <w:rStyle w:val="936"/>
            <w:rFonts w:ascii="Times New Roman" w:hAnsi="Times New Roman" w:eastAsia="Times New Roman" w:cs="Times New Roman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 w:val="0"/>
        <w:ind w:left="142" w:right="0" w:firstLine="567"/>
        <w:jc w:val="both"/>
        <w:spacing w:line="240" w:lineRule="auto"/>
        <w:rPr>
          <w:rFonts w:eastAsiaTheme="minorEastAsia"/>
          <w:sz w:val="26"/>
          <w:szCs w:val="26"/>
        </w:rPr>
        <w:suppressLineNumbers w:val="0"/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contextualSpacing w:val="0"/>
        <w:ind w:firstLine="0"/>
        <w:jc w:val="both"/>
        <w:spacing w:line="240" w:lineRule="auto"/>
        <w:shd w:val="clear" w:color="auto" w:fill="ffffff"/>
        <w:rPr>
          <w:rFonts w:eastAsia="Arial Unicode MS"/>
          <w:sz w:val="26"/>
          <w:szCs w:val="26"/>
        </w:rPr>
        <w:suppressLineNumbers w:val="0"/>
      </w:pPr>
      <w:r>
        <w:rPr>
          <w:sz w:val="26"/>
          <w:szCs w:val="26"/>
          <w:highlight w:val="none"/>
        </w:rPr>
      </w:r>
      <w:r>
        <w:rPr>
          <w:rFonts w:eastAsia="Arial Unicode MS"/>
          <w:sz w:val="26"/>
          <w:szCs w:val="26"/>
        </w:rPr>
      </w:r>
      <w:r>
        <w:rPr>
          <w:rFonts w:eastAsia="Arial Unicode MS"/>
          <w:sz w:val="26"/>
          <w:szCs w:val="26"/>
        </w:rPr>
      </w:r>
    </w:p>
    <w:p>
      <w:pPr>
        <w:pStyle w:val="914"/>
        <w:contextualSpacing w:val="0"/>
        <w:ind w:left="709" w:right="0" w:firstLine="0"/>
        <w:jc w:val="both"/>
        <w:spacing w:after="0" w:line="240" w:lineRule="auto"/>
        <w:rPr>
          <w:b/>
          <w:bCs/>
          <w:sz w:val="26"/>
          <w:szCs w:val="26"/>
          <w:highlight w:val="white"/>
        </w:rPr>
        <w:suppressLineNumbers w:val="0"/>
      </w:pPr>
      <w:r>
        <w:rPr>
          <w:b/>
          <w:bCs/>
          <w:color w:val="1c1c1c"/>
          <w:sz w:val="26"/>
          <w:szCs w:val="26"/>
          <w:highlight w:val="white"/>
        </w:rPr>
        <w:t xml:space="preserve">3. Сроки подачи (приема) </w:t>
      </w:r>
      <w:r>
        <w:rPr>
          <w:b/>
          <w:bCs/>
          <w:sz w:val="26"/>
          <w:szCs w:val="26"/>
          <w:highlight w:val="white"/>
        </w:rPr>
        <w:t xml:space="preserve">заявок, определения участников и проведения </w:t>
      </w:r>
      <w:r>
        <w:rPr>
          <w:b/>
          <w:bCs/>
          <w:sz w:val="26"/>
          <w:szCs w:val="26"/>
          <w:highlight w:val="white"/>
        </w:rPr>
        <w:t xml:space="preserve">электронного аукциона</w:t>
      </w:r>
      <w:r>
        <w:rPr>
          <w:b/>
          <w:bCs/>
          <w:sz w:val="26"/>
          <w:szCs w:val="26"/>
          <w:highlight w:val="white"/>
        </w:rPr>
      </w:r>
      <w:r>
        <w:rPr>
          <w:b/>
          <w:bCs/>
          <w:sz w:val="26"/>
          <w:szCs w:val="26"/>
          <w:highlight w:val="white"/>
        </w:rPr>
      </w:r>
    </w:p>
    <w:p>
      <w:pPr>
        <w:contextualSpacing w:val="0"/>
        <w:ind w:left="142" w:right="0" w:firstLine="567"/>
        <w:jc w:val="both"/>
        <w:spacing w:line="240" w:lineRule="auto"/>
        <w:rPr>
          <w:rFonts w:eastAsia="Calibri"/>
          <w:sz w:val="26"/>
          <w:szCs w:val="26"/>
          <w:highlight w:val="white"/>
        </w:rPr>
        <w:suppressLineNumbers w:val="0"/>
      </w:pPr>
      <w:r>
        <w:rPr>
          <w:rFonts w:eastAsia="Calibri"/>
          <w:sz w:val="26"/>
          <w:szCs w:val="26"/>
          <w:highlight w:val="white"/>
        </w:rPr>
        <w:t xml:space="preserve">1</w:t>
      </w:r>
      <w:r>
        <w:rPr>
          <w:rFonts w:eastAsia="Calibri"/>
          <w:sz w:val="26"/>
          <w:szCs w:val="26"/>
          <w:highlight w:val="white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  <w:highlight w:val="white"/>
        </w:rPr>
        <w:t xml:space="preserve">11 сентября</w:t>
      </w:r>
      <w:r>
        <w:rPr>
          <w:rFonts w:eastAsia="Calibri"/>
          <w:b/>
          <w:bCs/>
          <w:sz w:val="26"/>
          <w:szCs w:val="26"/>
          <w:highlight w:val="white"/>
        </w:rPr>
        <w:t xml:space="preserve"> 2026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/>
          <w:bCs/>
          <w:sz w:val="26"/>
          <w:szCs w:val="26"/>
          <w:highlight w:val="white"/>
        </w:rPr>
        <w:t xml:space="preserve">года </w:t>
      </w:r>
      <w:r>
        <w:rPr>
          <w:b/>
          <w:sz w:val="26"/>
          <w:szCs w:val="26"/>
          <w:highlight w:val="white"/>
        </w:rPr>
        <w:t xml:space="preserve">в </w:t>
      </w:r>
      <w:r>
        <w:rPr>
          <w:b/>
          <w:sz w:val="26"/>
          <w:szCs w:val="26"/>
          <w:highlight w:val="white"/>
        </w:rPr>
        <w:t xml:space="preserve">10</w:t>
      </w:r>
      <w:r>
        <w:rPr>
          <w:b/>
          <w:sz w:val="26"/>
          <w:szCs w:val="26"/>
          <w:highlight w:val="white"/>
        </w:rPr>
        <w:t xml:space="preserve"> час. 00 мин. </w:t>
      </w:r>
      <w:r>
        <w:rPr>
          <w:rFonts w:eastAsia="Calibri"/>
          <w:sz w:val="26"/>
          <w:szCs w:val="26"/>
          <w:highlight w:val="white"/>
        </w:rPr>
        <w:t xml:space="preserve">по местному времени. </w:t>
      </w:r>
      <w:r>
        <w:rPr>
          <w:rFonts w:eastAsia="Calibri"/>
          <w:sz w:val="26"/>
          <w:szCs w:val="26"/>
          <w:highlight w:val="white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  <w:highlight w:val="white"/>
        </w:rPr>
      </w:r>
      <w:r>
        <w:rPr>
          <w:rFonts w:eastAsia="Calibri"/>
          <w:sz w:val="26"/>
          <w:szCs w:val="26"/>
          <w:highlight w:val="white"/>
        </w:rPr>
      </w:r>
    </w:p>
    <w:p>
      <w:pPr>
        <w:contextualSpacing w:val="0"/>
        <w:ind w:left="142" w:right="0" w:firstLine="567"/>
        <w:jc w:val="both"/>
        <w:spacing w:line="240" w:lineRule="auto"/>
        <w:rPr>
          <w:rFonts w:eastAsia="Calibri"/>
          <w:sz w:val="26"/>
          <w:szCs w:val="26"/>
          <w:highlight w:val="white"/>
        </w:rPr>
        <w:suppressLineNumbers w:val="0"/>
      </w:pPr>
      <w:r>
        <w:rPr>
          <w:rFonts w:eastAsia="Calibri"/>
          <w:sz w:val="26"/>
          <w:szCs w:val="26"/>
          <w:highlight w:val="white"/>
        </w:rPr>
        <w:t xml:space="preserve">2</w:t>
      </w:r>
      <w:r>
        <w:rPr>
          <w:rFonts w:eastAsia="Calibri"/>
          <w:sz w:val="26"/>
          <w:szCs w:val="26"/>
          <w:highlight w:val="white"/>
        </w:rPr>
        <w:t xml:space="preserve">) Дата и время окончания подачи (приема) заявок: </w:t>
      </w:r>
      <w:r>
        <w:rPr>
          <w:rFonts w:eastAsia="Calibri"/>
          <w:b/>
          <w:bCs/>
          <w:sz w:val="26"/>
          <w:szCs w:val="26"/>
          <w:highlight w:val="white"/>
        </w:rPr>
        <w:t xml:space="preserve">11 октября</w:t>
      </w:r>
      <w:r>
        <w:rPr>
          <w:rFonts w:eastAsia="Calibri"/>
          <w:b/>
          <w:bCs/>
          <w:sz w:val="26"/>
          <w:szCs w:val="26"/>
          <w:highlight w:val="white"/>
        </w:rPr>
        <w:t xml:space="preserve"> </w:t>
      </w:r>
      <w:r>
        <w:rPr>
          <w:rFonts w:eastAsia="Calibri"/>
          <w:b/>
          <w:bCs/>
          <w:sz w:val="26"/>
          <w:szCs w:val="26"/>
          <w:highlight w:val="white"/>
        </w:rPr>
        <w:t xml:space="preserve">2026</w:t>
      </w:r>
      <w:r>
        <w:rPr>
          <w:rFonts w:eastAsia="Calibri"/>
          <w:b/>
          <w:bCs/>
          <w:sz w:val="26"/>
          <w:szCs w:val="26"/>
          <w:highlight w:val="white"/>
        </w:rPr>
        <w:t xml:space="preserve"> </w:t>
      </w:r>
      <w:r>
        <w:rPr>
          <w:rFonts w:eastAsia="Calibri"/>
          <w:b/>
          <w:sz w:val="26"/>
          <w:szCs w:val="26"/>
          <w:highlight w:val="white"/>
        </w:rPr>
        <w:t xml:space="preserve">года</w:t>
      </w:r>
      <w:r>
        <w:rPr>
          <w:rFonts w:eastAsia="Calibri"/>
          <w:b/>
          <w:sz w:val="26"/>
          <w:szCs w:val="26"/>
          <w:highlight w:val="white"/>
        </w:rPr>
        <w:t xml:space="preserve"> в </w:t>
      </w:r>
      <w:r>
        <w:rPr>
          <w:rFonts w:eastAsia="Calibri"/>
          <w:b/>
          <w:sz w:val="26"/>
          <w:szCs w:val="26"/>
          <w:highlight w:val="white"/>
        </w:rPr>
        <w:t xml:space="preserve">10</w:t>
      </w:r>
      <w:r>
        <w:rPr>
          <w:rFonts w:eastAsia="Calibri"/>
          <w:b/>
          <w:sz w:val="26"/>
          <w:szCs w:val="26"/>
          <w:highlight w:val="white"/>
        </w:rPr>
        <w:t xml:space="preserve"> час. 00 мин.</w:t>
      </w:r>
      <w:r>
        <w:rPr>
          <w:rFonts w:eastAsia="Calibri"/>
          <w:sz w:val="26"/>
          <w:szCs w:val="26"/>
          <w:highlight w:val="white"/>
        </w:rPr>
        <w:t xml:space="preserve"> </w:t>
      </w:r>
      <w:r>
        <w:rPr>
          <w:rFonts w:eastAsia="Calibri"/>
          <w:sz w:val="26"/>
          <w:szCs w:val="26"/>
          <w:highlight w:val="white"/>
        </w:rPr>
        <w:t xml:space="preserve">по местному времени.</w:t>
      </w:r>
      <w:r>
        <w:rPr>
          <w:rFonts w:eastAsia="Calibri"/>
          <w:sz w:val="26"/>
          <w:szCs w:val="26"/>
          <w:highlight w:val="white"/>
        </w:rPr>
      </w:r>
      <w:r>
        <w:rPr>
          <w:rFonts w:eastAsia="Calibri"/>
          <w:sz w:val="26"/>
          <w:szCs w:val="26"/>
          <w:highlight w:val="white"/>
        </w:rPr>
      </w:r>
    </w:p>
    <w:p>
      <w:pPr>
        <w:contextualSpacing w:val="0"/>
        <w:ind w:left="142" w:right="0" w:firstLine="567"/>
        <w:jc w:val="both"/>
        <w:spacing w:line="240" w:lineRule="auto"/>
        <w:rPr>
          <w:rFonts w:eastAsia="Calibri"/>
          <w:sz w:val="26"/>
          <w:szCs w:val="26"/>
          <w:highlight w:val="white"/>
        </w:rPr>
        <w:suppressLineNumbers w:val="0"/>
      </w:pPr>
      <w:r>
        <w:rPr>
          <w:rFonts w:eastAsia="Calibri"/>
          <w:sz w:val="26"/>
          <w:szCs w:val="26"/>
          <w:highlight w:val="white"/>
        </w:rPr>
        <w:t xml:space="preserve">3</w:t>
      </w:r>
      <w:r>
        <w:rPr>
          <w:rFonts w:eastAsia="Calibri"/>
          <w:sz w:val="26"/>
          <w:szCs w:val="26"/>
          <w:highlight w:val="white"/>
        </w:rPr>
        <w:t xml:space="preserve">) Дата рассмотрения заявок</w:t>
      </w:r>
      <w:r>
        <w:rPr>
          <w:rFonts w:eastAsia="Calibri"/>
          <w:b/>
          <w:bCs/>
          <w:sz w:val="26"/>
          <w:szCs w:val="26"/>
          <w:highlight w:val="white"/>
        </w:rPr>
        <w:t xml:space="preserve">: 12 октября</w:t>
      </w:r>
      <w:r>
        <w:rPr>
          <w:rFonts w:eastAsia="Calibri"/>
          <w:b/>
          <w:bCs/>
          <w:sz w:val="26"/>
          <w:szCs w:val="26"/>
          <w:highlight w:val="white"/>
        </w:rPr>
        <w:t xml:space="preserve"> </w:t>
      </w:r>
      <w:r>
        <w:rPr>
          <w:rFonts w:eastAsia="Calibri"/>
          <w:b/>
          <w:bCs/>
          <w:sz w:val="26"/>
          <w:szCs w:val="26"/>
          <w:highlight w:val="white"/>
        </w:rPr>
        <w:t xml:space="preserve">2</w:t>
      </w:r>
      <w:r>
        <w:rPr>
          <w:rFonts w:eastAsia="Calibri"/>
          <w:b/>
          <w:bCs/>
          <w:sz w:val="26"/>
          <w:szCs w:val="26"/>
          <w:highlight w:val="white"/>
        </w:rPr>
        <w:t xml:space="preserve">026</w:t>
      </w:r>
      <w:r>
        <w:rPr>
          <w:rFonts w:eastAsia="Calibri"/>
          <w:sz w:val="26"/>
          <w:szCs w:val="26"/>
          <w:highlight w:val="white"/>
        </w:rPr>
        <w:t xml:space="preserve"> </w:t>
      </w:r>
      <w:r>
        <w:rPr>
          <w:rFonts w:eastAsia="Calibri"/>
          <w:b/>
          <w:sz w:val="26"/>
          <w:szCs w:val="26"/>
          <w:highlight w:val="white"/>
        </w:rPr>
        <w:t xml:space="preserve">года 15 час. 00 мин.</w:t>
      </w:r>
      <w:r>
        <w:rPr>
          <w:rFonts w:eastAsia="Calibri"/>
          <w:sz w:val="26"/>
          <w:szCs w:val="26"/>
          <w:highlight w:val="white"/>
        </w:rPr>
        <w:t xml:space="preserve">.</w:t>
      </w:r>
      <w:r>
        <w:rPr>
          <w:rFonts w:eastAsia="Calibri"/>
          <w:sz w:val="26"/>
          <w:szCs w:val="26"/>
          <w:highlight w:val="white"/>
        </w:rPr>
      </w:r>
      <w:r>
        <w:rPr>
          <w:rFonts w:eastAsia="Calibri"/>
          <w:sz w:val="26"/>
          <w:szCs w:val="26"/>
          <w:highlight w:val="white"/>
        </w:rPr>
      </w:r>
    </w:p>
    <w:p>
      <w:pPr>
        <w:contextualSpacing w:val="0"/>
        <w:ind w:left="142" w:right="0" w:firstLine="567"/>
        <w:jc w:val="both"/>
        <w:spacing w:line="240" w:lineRule="auto"/>
        <w:rPr>
          <w:rFonts w:eastAsia="Calibri"/>
          <w:sz w:val="26"/>
          <w:szCs w:val="26"/>
          <w:highlight w:val="white"/>
        </w:rPr>
        <w:suppressLineNumbers w:val="0"/>
      </w:pPr>
      <w:r>
        <w:rPr>
          <w:rFonts w:eastAsia="Calibri"/>
          <w:sz w:val="26"/>
          <w:szCs w:val="26"/>
          <w:highlight w:val="white"/>
        </w:rPr>
        <w:t xml:space="preserve">4</w:t>
      </w:r>
      <w:r>
        <w:rPr>
          <w:rFonts w:eastAsia="Calibri"/>
          <w:sz w:val="26"/>
          <w:szCs w:val="26"/>
          <w:highlight w:val="white"/>
        </w:rPr>
        <w:t xml:space="preserve">) Дата и время начала проведения </w:t>
      </w:r>
      <w:r>
        <w:rPr>
          <w:rFonts w:eastAsia="Calibri"/>
          <w:sz w:val="26"/>
          <w:szCs w:val="26"/>
          <w:highlight w:val="white"/>
        </w:rPr>
        <w:t xml:space="preserve">электронного </w:t>
      </w:r>
      <w:r>
        <w:rPr>
          <w:rFonts w:eastAsia="Calibri"/>
          <w:sz w:val="26"/>
          <w:szCs w:val="26"/>
          <w:highlight w:val="white"/>
        </w:rPr>
        <w:t xml:space="preserve">аукциона: </w:t>
      </w:r>
      <w:r>
        <w:rPr>
          <w:rFonts w:eastAsia="Calibri"/>
          <w:b/>
          <w:bCs/>
          <w:sz w:val="26"/>
          <w:szCs w:val="26"/>
          <w:highlight w:val="white"/>
        </w:rPr>
        <w:t xml:space="preserve">13 </w:t>
      </w:r>
      <w:r>
        <w:rPr>
          <w:rFonts w:eastAsia="Calibri"/>
          <w:b/>
          <w:bCs/>
          <w:sz w:val="26"/>
          <w:szCs w:val="26"/>
          <w:highlight w:val="white"/>
        </w:rPr>
        <w:t xml:space="preserve"> октябр</w:t>
      </w:r>
      <w:r>
        <w:rPr>
          <w:rFonts w:eastAsia="Calibri"/>
          <w:b/>
          <w:bCs/>
          <w:sz w:val="26"/>
          <w:szCs w:val="26"/>
          <w:highlight w:val="white"/>
        </w:rPr>
        <w:t xml:space="preserve">я</w:t>
      </w:r>
      <w:r>
        <w:rPr>
          <w:rFonts w:eastAsia="Calibri"/>
          <w:sz w:val="26"/>
          <w:szCs w:val="26"/>
          <w:highlight w:val="white"/>
        </w:rPr>
        <w:t xml:space="preserve"> </w:t>
      </w:r>
      <w:r>
        <w:rPr>
          <w:rFonts w:eastAsia="Calibri"/>
          <w:b/>
          <w:bCs/>
          <w:sz w:val="26"/>
          <w:szCs w:val="26"/>
          <w:highlight w:val="white"/>
        </w:rPr>
        <w:t xml:space="preserve">2026 </w:t>
      </w:r>
      <w:r>
        <w:rPr>
          <w:rFonts w:eastAsia="Calibri"/>
          <w:b/>
          <w:sz w:val="26"/>
          <w:szCs w:val="26"/>
          <w:highlight w:val="white"/>
        </w:rPr>
        <w:t xml:space="preserve">года</w:t>
      </w:r>
      <w:r>
        <w:rPr>
          <w:rFonts w:eastAsia="Calibri"/>
          <w:sz w:val="26"/>
          <w:szCs w:val="26"/>
          <w:highlight w:val="white"/>
        </w:rPr>
        <w:t xml:space="preserve"> в </w:t>
      </w:r>
      <w:r>
        <w:rPr>
          <w:rFonts w:eastAsia="Calibri"/>
          <w:b/>
          <w:sz w:val="26"/>
          <w:szCs w:val="26"/>
          <w:highlight w:val="white"/>
        </w:rPr>
        <w:t xml:space="preserve">09</w:t>
      </w:r>
      <w:r>
        <w:rPr>
          <w:rFonts w:eastAsia="Calibri"/>
          <w:b/>
          <w:sz w:val="26"/>
          <w:szCs w:val="26"/>
          <w:highlight w:val="white"/>
        </w:rPr>
        <w:t xml:space="preserve"> час. </w:t>
      </w:r>
      <w:r>
        <w:rPr>
          <w:rFonts w:eastAsia="Calibri"/>
          <w:b/>
          <w:sz w:val="26"/>
          <w:szCs w:val="26"/>
          <w:highlight w:val="white"/>
        </w:rPr>
        <w:t xml:space="preserve">00</w:t>
      </w:r>
      <w:r>
        <w:rPr>
          <w:rFonts w:eastAsia="Calibri"/>
          <w:b/>
          <w:sz w:val="26"/>
          <w:szCs w:val="26"/>
          <w:highlight w:val="white"/>
        </w:rPr>
        <w:t xml:space="preserve"> мин.</w:t>
      </w:r>
      <w:r>
        <w:rPr>
          <w:rFonts w:eastAsia="Calibri"/>
          <w:b/>
          <w:sz w:val="26"/>
          <w:szCs w:val="26"/>
          <w:highlight w:val="white"/>
        </w:rPr>
        <w:t xml:space="preserve"> </w:t>
      </w:r>
      <w:r>
        <w:rPr>
          <w:rFonts w:eastAsia="Calibri"/>
          <w:sz w:val="26"/>
          <w:szCs w:val="26"/>
          <w:highlight w:val="white"/>
        </w:rPr>
        <w:t xml:space="preserve">по местному времени</w:t>
      </w:r>
      <w:r>
        <w:rPr>
          <w:rFonts w:eastAsia="Calibri"/>
          <w:sz w:val="26"/>
          <w:szCs w:val="26"/>
          <w:highlight w:val="white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  <w:highlight w:val="white"/>
        </w:rPr>
      </w:r>
      <w:r>
        <w:rPr>
          <w:rFonts w:eastAsia="Calibri"/>
          <w:sz w:val="26"/>
          <w:szCs w:val="26"/>
          <w:highlight w:val="white"/>
        </w:rPr>
      </w:r>
    </w:p>
    <w:p>
      <w:pPr>
        <w:contextualSpacing w:val="0"/>
        <w:ind w:firstLine="709"/>
        <w:jc w:val="both"/>
        <w:spacing w:line="240" w:lineRule="auto"/>
        <w:shd w:val="clear" w:color="auto" w:fill="ffffff"/>
        <w:rPr>
          <w:sz w:val="26"/>
          <w:szCs w:val="26"/>
          <w:highlight w:val="white"/>
        </w:rPr>
        <w:suppressLineNumbers w:val="0"/>
      </w:pP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ind w:firstLine="709"/>
        <w:jc w:val="both"/>
        <w:shd w:val="clear" w:color="auto" w:fill="ffffff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0"/>
        <w:jc w:val="both"/>
        <w:shd w:val="clear" w:color="auto" w:fill="ffffff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shd w:val="clear" w:color="auto" w:fill="ffffff"/>
        <w:rPr>
          <w:sz w:val="26"/>
          <w:szCs w:val="26"/>
          <w:highlight w:val="none"/>
        </w:rPr>
      </w:pPr>
      <w:r>
        <w:rPr>
          <w:b/>
          <w:bCs/>
          <w:iCs/>
          <w:sz w:val="26"/>
          <w:szCs w:val="26"/>
        </w:rPr>
        <w:t xml:space="preserve">4. Предмет электронного аукциона</w:t>
      </w:r>
      <w:r>
        <w:rPr>
          <w:b/>
          <w:bCs/>
          <w:iCs/>
          <w:sz w:val="26"/>
          <w:szCs w:val="26"/>
        </w:rPr>
        <w:t xml:space="preserve">:</w:t>
      </w:r>
      <w:r>
        <w:rPr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 xml:space="preserve">право на заключение договора на размещение нестационарного торгового объекта (далее - НТО), номер в схеме, </w:t>
      </w:r>
      <w:r>
        <w:rPr>
          <w:sz w:val="26"/>
          <w:szCs w:val="26"/>
        </w:rPr>
        <w:t xml:space="preserve">характеристика места размещения НТО, вид НТО, специализация НТО, площадь НТО, начальная цена предмета аукциона, шаг аукциона, размер задатка указаны в </w:t>
      </w:r>
      <w:r>
        <w:rPr>
          <w:b/>
          <w:sz w:val="26"/>
          <w:szCs w:val="26"/>
        </w:rPr>
        <w:t xml:space="preserve">таблице</w:t>
      </w:r>
      <w:r>
        <w:rPr>
          <w:sz w:val="26"/>
          <w:szCs w:val="26"/>
        </w:rPr>
        <w:t xml:space="preserve">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567"/>
        <w:jc w:val="both"/>
        <w:rPr>
          <w:b/>
          <w:bCs/>
          <w:i/>
          <w:iCs/>
          <w:sz w:val="10"/>
          <w:szCs w:val="28"/>
        </w:rPr>
      </w:pPr>
      <w:r>
        <w:rPr>
          <w:b/>
          <w:bCs/>
          <w:i/>
          <w:iCs/>
          <w:sz w:val="10"/>
          <w:szCs w:val="28"/>
        </w:rPr>
      </w:r>
      <w:r>
        <w:rPr>
          <w:b/>
          <w:bCs/>
          <w:i/>
          <w:iCs/>
          <w:sz w:val="10"/>
          <w:szCs w:val="28"/>
        </w:rPr>
      </w:r>
      <w:r>
        <w:rPr>
          <w:b/>
          <w:bCs/>
          <w:i/>
          <w:iCs/>
          <w:sz w:val="10"/>
          <w:szCs w:val="28"/>
        </w:rPr>
      </w:r>
    </w:p>
    <w:tbl>
      <w:tblPr>
        <w:tblW w:w="9704" w:type="dxa"/>
        <w:tblInd w:w="73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2"/>
        <w:gridCol w:w="565"/>
        <w:gridCol w:w="2411"/>
        <w:gridCol w:w="567"/>
        <w:gridCol w:w="850"/>
        <w:gridCol w:w="564"/>
        <w:gridCol w:w="709"/>
        <w:gridCol w:w="1559"/>
        <w:gridCol w:w="992"/>
        <w:gridCol w:w="1134"/>
      </w:tblGrid>
      <w:tr>
        <w:tblPrEx/>
        <w:trPr>
          <w:trHeight w:val="204"/>
        </w:trPr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352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№ лота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565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№ в схеме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2411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Характеристика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мест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размещения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НТО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(местоположение)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4" w:space="0"/>
            </w:tcBorders>
            <w:tcW w:w="567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Вид  НТО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4" w:space="0"/>
              <w:bottom w:val="single" w:color="000000" w:sz="2" w:space="0"/>
              <w:right w:val="single" w:color="auto" w:sz="2" w:space="0"/>
            </w:tcBorders>
            <w:tcW w:w="850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Специализация  НТО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W w:w="564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Площадь НТО (кв. м)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W w:w="709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Площадь земельного участка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 (кв. м).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1559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Начальная цена предмета аукциона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ежегодная плата за право на размещение НТО,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 руб. 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none" w:color="000000" w:sz="4" w:space="0"/>
              <w:bottom w:val="none" w:color="000000" w:sz="4" w:space="0"/>
              <w:right w:val="single" w:color="auto" w:sz="2" w:space="0"/>
            </w:tcBorders>
            <w:tcW w:w="992" w:type="dxa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1134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Размер задатка, в руб.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(20% от начальной цены предмета аукциона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</w:tr>
      <w:tr>
        <w:tblPrEx/>
        <w:trPr>
          <w:trHeight w:val="4401"/>
        </w:trPr>
        <w:tc>
          <w:tcPr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352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56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2411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4" w:space="0"/>
            </w:tcBorders>
            <w:tcW w:w="56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2" w:space="0"/>
              <w:left w:val="single" w:color="auto" w:sz="4" w:space="0"/>
              <w:bottom w:val="single" w:color="000000" w:sz="2" w:space="0"/>
              <w:right w:val="single" w:color="auto" w:sz="2" w:space="0"/>
            </w:tcBorders>
            <w:tcW w:w="85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W w:w="56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992" w:type="dxa"/>
            <w:vAlign w:val="center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Шаг аукциона 3% от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начальной цены предмета аукциона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auto" w:sz="2" w:space="0"/>
              <w:left w:val="single" w:color="auto" w:sz="2" w:space="0"/>
              <w:bottom w:val="single" w:color="000000" w:sz="2" w:space="0"/>
              <w:right w:val="single" w:color="auto" w:sz="2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20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W w:w="35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565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2411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4" w:space="0"/>
            </w:tcBorders>
            <w:tcW w:w="567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5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564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6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8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9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none" w:color="000000" w:sz="4" w:space="0"/>
              <w:bottom w:val="single" w:color="auto" w:sz="2" w:space="0"/>
              <w:right w:val="single" w:color="auto" w:sz="2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10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</w:tr>
      <w:tr>
        <w:tblPrEx/>
        <w:trPr>
          <w:trHeight w:val="1743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352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2" w:space="0"/>
            </w:tcBorders>
            <w:tcW w:w="565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  <w:t xml:space="preserve">85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2" w:space="0"/>
            </w:tcBorders>
            <w:tcW w:w="2411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Иркутская область,</w:t>
            </w:r>
            <w:r/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Иркутский район, р.п. Маркова, ул. Черемуховая, 12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btLr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Павильон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W w:w="850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Продовольственные товары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2" w:space="0"/>
            </w:tcBorders>
            <w:tcW w:w="564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highlight w:val="none"/>
                <w:u w:val="none"/>
                <w:vertAlign w:val="baseline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6"/>
                <w:szCs w:val="26"/>
                <w:highlight w:val="none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6"/>
                <w:szCs w:val="26"/>
                <w:highlight w:val="non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6"/>
                <w:szCs w:val="26"/>
                <w:highlight w:val="none"/>
                <w:u w:val="none"/>
                <w:vertAlign w:val="baseline"/>
              </w:rPr>
            </w:r>
          </w:p>
          <w:p>
            <w:pPr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2" w:space="0"/>
            </w:tcBorders>
            <w:tcW w:w="70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6"/>
                <w:szCs w:val="26"/>
                <w:u w:val="none"/>
                <w:vertAlign w:val="baseline"/>
              </w:rPr>
              <w:t xml:space="preserve">170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2" w:space="0"/>
            </w:tcBorders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sz w:val="26"/>
                <w:szCs w:val="26"/>
              </w:rPr>
              <w:t xml:space="preserve">130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348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2" w:space="0"/>
            </w:tcBorders>
            <w:tcW w:w="992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  <w:lang w:val="en-US"/>
              </w:rPr>
              <w:t xml:space="preserve">3 910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2" w:space="0"/>
            </w:tcBorders>
            <w:tcW w:w="1134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  <w:lang w:val="en-US"/>
              </w:rPr>
              <w:t xml:space="preserve">26 069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r>
          </w:p>
        </w:tc>
      </w:tr>
    </w:tbl>
    <w:p>
      <w:pPr>
        <w:ind w:firstLine="709"/>
        <w:jc w:val="both"/>
        <w:rPr>
          <w:b/>
          <w:sz w:val="10"/>
          <w:szCs w:val="26"/>
        </w:rPr>
      </w:pPr>
      <w:r>
        <w:rPr>
          <w:b/>
          <w:sz w:val="10"/>
          <w:szCs w:val="26"/>
        </w:rPr>
      </w:r>
      <w:r>
        <w:rPr>
          <w:b/>
          <w:sz w:val="10"/>
          <w:szCs w:val="26"/>
        </w:rPr>
      </w:r>
      <w:r>
        <w:rPr>
          <w:b/>
          <w:sz w:val="10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Срок действия </w:t>
      </w:r>
      <w:r>
        <w:rPr>
          <w:sz w:val="26"/>
          <w:szCs w:val="26"/>
        </w:rPr>
        <w:t xml:space="preserve">договора на размещение нестационарного торгового объекта установлен в соответствии с</w:t>
      </w:r>
      <w:r>
        <w:rPr>
          <w:sz w:val="26"/>
          <w:szCs w:val="26"/>
        </w:rPr>
        <w:t xml:space="preserve"> п.7</w:t>
      </w:r>
      <w:r>
        <w:rPr>
          <w:sz w:val="26"/>
          <w:szCs w:val="26"/>
        </w:rPr>
        <w:t xml:space="preserve"> Положени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Об отдельных вопросах размещения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нестационарных торговых объектов, утвержденных Приказом министерства имущества имущественных отношений Иркутской области от 12.09.2022 № 51-49мпр:</w:t>
      </w:r>
      <w:r>
        <w:rPr>
          <w:b/>
          <w:sz w:val="26"/>
          <w:szCs w:val="26"/>
        </w:rPr>
        <w:t xml:space="preserve"> 7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(</w:t>
      </w:r>
      <w:r>
        <w:rPr>
          <w:b/>
          <w:sz w:val="26"/>
          <w:szCs w:val="26"/>
        </w:rPr>
        <w:t xml:space="preserve">Семь)</w:t>
      </w:r>
      <w:r>
        <w:rPr>
          <w:b/>
          <w:sz w:val="26"/>
          <w:szCs w:val="26"/>
        </w:rPr>
        <w:t xml:space="preserve"> лет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rFonts w:eastAsia="Arial Unicode MS"/>
          <w:sz w:val="26"/>
          <w:szCs w:val="26"/>
        </w:rPr>
      </w:pPr>
      <w:r>
        <w:rPr>
          <w:rFonts w:eastAsia="Arial Unicode MS"/>
          <w:b/>
          <w:sz w:val="26"/>
          <w:szCs w:val="26"/>
        </w:rPr>
        <w:t xml:space="preserve"> Величина повышения начальной цены предмета аукциона («шаг аукциона») при его проведе</w:t>
      </w:r>
      <w:r>
        <w:rPr>
          <w:rFonts w:eastAsia="Arial Unicode MS"/>
          <w:b/>
          <w:sz w:val="26"/>
          <w:szCs w:val="26"/>
        </w:rPr>
        <w:t xml:space="preserve">нии устанавливается в размере 3</w:t>
      </w:r>
      <w:r>
        <w:rPr>
          <w:rFonts w:eastAsia="Arial Unicode MS"/>
          <w:b/>
          <w:sz w:val="26"/>
          <w:szCs w:val="26"/>
        </w:rPr>
        <w:t xml:space="preserve">%</w:t>
      </w:r>
      <w:r>
        <w:rPr>
          <w:rFonts w:eastAsia="Arial Unicode MS"/>
          <w:sz w:val="26"/>
          <w:szCs w:val="26"/>
        </w:rPr>
        <w:t xml:space="preserve"> от начальной цены предмета аукциона и не изменяется в течение всего аукциона. </w:t>
      </w:r>
      <w:r>
        <w:rPr>
          <w:rFonts w:eastAsia="Arial Unicode MS"/>
          <w:sz w:val="26"/>
          <w:szCs w:val="26"/>
        </w:rPr>
      </w:r>
      <w:r>
        <w:rPr>
          <w:rFonts w:eastAsia="Arial Unicode MS"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Размер задатка устанавливается в размере 20%</w:t>
      </w:r>
      <w:r>
        <w:rPr>
          <w:sz w:val="26"/>
          <w:szCs w:val="26"/>
        </w:rPr>
        <w:t xml:space="preserve"> от начальной цены предмета </w:t>
      </w:r>
      <w:r>
        <w:rPr>
          <w:sz w:val="26"/>
          <w:szCs w:val="26"/>
        </w:rPr>
        <w:t xml:space="preserve">аукциона </w:t>
      </w:r>
      <w:r>
        <w:rPr>
          <w:sz w:val="26"/>
          <w:szCs w:val="26"/>
        </w:rPr>
        <w:t xml:space="preserve">(лота).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85" w:firstLine="720"/>
        <w:jc w:val="both"/>
        <w:spacing w:line="200" w:lineRule="atLeast"/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  <w:t xml:space="preserve">Возможность отказаться от прове</w:t>
      </w: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  <w:t xml:space="preserve">дения электронного аукциона, внесений изменений в извещение о проведении аукциона и продлении срока подачи заявок.</w:t>
      </w: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</w:r>
    </w:p>
    <w:p>
      <w:pPr>
        <w:contextualSpacing/>
        <w:ind w:left="85" w:firstLine="720"/>
        <w:jc w:val="both"/>
        <w:spacing w:line="240" w:lineRule="auto"/>
        <w:rPr>
          <w:rFonts w:ascii="Times New Roman" w:hAnsi="Times New Roman" w:eastAsia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Извещение об отказе в проведении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электронного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аукциона обязан известить участников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электронного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аукциона об отказе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проведении аукциона и возвратить его участникам внесенные задатки.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contextualSpacing/>
        <w:ind w:left="85" w:firstLine="720"/>
        <w:jc w:val="both"/>
        <w:spacing w:line="240" w:lineRule="auto"/>
        <w:rPr>
          <w:rFonts w:ascii="Times New Roman" w:hAnsi="Times New Roman" w:eastAsia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Уполномоченный орган не позднее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чем за один рабочий день до даты окончания приема заявок на участие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электронном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 вправе принять решение о внесении изменений в извещение о проведении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электронного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 в целях исправления технических ошибок, не связанных с предметом аукциона, начальной ценой предмета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электронного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аукциона, "шагом аукциона", размером задатка, со сроком заключаемого по результатам аукциона договора на размещение НТО, а также с видом права, на котором земельный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участок предоставляется по результатам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электронного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аукциона.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contextualSpacing/>
        <w:ind w:left="85" w:firstLine="720"/>
        <w:jc w:val="both"/>
        <w:spacing w:line="240" w:lineRule="auto"/>
        <w:rPr>
          <w:rFonts w:ascii="Times New Roman" w:hAnsi="Times New Roman" w:cs="Times New Roman"/>
          <w:b/>
          <w:bCs/>
          <w:color w:val="1c1c1c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случае, если за один рабочий день до даты окончания приема заявок на участие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электронного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электронном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 мож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ет принять решение о продлении срока подачи заявок</w:t>
      </w: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</w:r>
    </w:p>
    <w:p>
      <w:pPr>
        <w:ind w:left="709" w:firstLine="0"/>
        <w:jc w:val="both"/>
        <w:spacing w:line="200" w:lineRule="atLeas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</w:r>
    </w:p>
    <w:p>
      <w:pPr>
        <w:ind w:left="709" w:firstLine="0"/>
        <w:jc w:val="both"/>
        <w:spacing w:line="200" w:lineRule="atLeast"/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</w:rPr>
        <w:t xml:space="preserve">5. Срок и порядок регистрации на электронной площадке</w:t>
      </w: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1c1c1c"/>
          <w:sz w:val="26"/>
          <w:szCs w:val="26"/>
          <w:highlight w:val="none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Для обеспечения доступа к участию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аукционе заявителям необходимо пройти процедуру регистрации в соответствии с регламентом электронной площ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адки оператора </w:t>
      </w:r>
      <w:r>
        <w:rPr>
          <w:rFonts w:ascii="Times New Roman" w:hAnsi="Times New Roman" w:eastAsia="Times New Roman" w:cs="Times New Roman"/>
          <w:bCs/>
          <w:color w:val="1c1c1c"/>
          <w:sz w:val="26"/>
          <w:szCs w:val="26"/>
        </w:rPr>
        <w:t xml:space="preserve">АО «Сбербанк-АСТ» (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hyperlink r:id="rId13" w:tooltip="http://sberbank-ast.ru" w:history="1"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</w:rPr>
          <w:t xml:space="preserve">-</w:t>
        </w:r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936"/>
          <w:rFonts w:ascii="Times New Roman" w:hAnsi="Times New Roman" w:eastAsia="Times New Roman" w:cs="Times New Roman"/>
          <w:color w:val="auto"/>
          <w:sz w:val="26"/>
          <w:szCs w:val="26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(далее -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</w:rPr>
        <w:t xml:space="preserve">электронная площадка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).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</w:rPr>
        <w:t xml:space="preserve"> Для прохождения процедуры регистрации заявителю необходимо получить усиленную квалифицирован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</w:rPr>
        <w:t xml:space="preserve">ную электронную подпись (далее - КЭП) в аккредитованном удостоверяющем центре.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</w:rPr>
        <w:t xml:space="preserve">Регистрация на электронной площадке заявителей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на участие в электронном аукционе осуществляется ежедневно, круглосуточно, но не позднее даты и времени окончания подачи (приема)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заявок, указанных в информационном сообщении.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тронной площадке, была ими прекращена.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Плата за услуги оператора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 победителя электронного аукциона или иных лиц с которыми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договор, не взимается, в соответствии с тарифами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АО «Сбербанк-АСТ».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709" w:firstLine="0"/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28" w:firstLine="681"/>
        <w:jc w:val="both"/>
        <w:keepLines/>
        <w:spacing w:line="200" w:lineRule="atLeast"/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6. Требова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ния к участникам электронного аукциона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</w:p>
    <w:p>
      <w:pPr>
        <w:contextualSpacing/>
        <w:ind w:left="28" w:firstLine="681"/>
        <w:jc w:val="both"/>
        <w:keepLines/>
        <w:spacing w:line="200" w:lineRule="atLeast"/>
        <w:rPr>
          <w:rFonts w:ascii="Times New Roman" w:hAnsi="Times New Roman" w:eastAsia="Times New Roman" w:cs="Times New Roman"/>
          <w:b/>
          <w:bCs/>
          <w:sz w:val="12"/>
          <w:szCs w:val="12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12"/>
          <w:szCs w:val="12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2"/>
          <w:szCs w:val="12"/>
        </w:rPr>
      </w:r>
      <w:r>
        <w:rPr>
          <w:rFonts w:ascii="Times New Roman" w:hAnsi="Times New Roman" w:eastAsia="Times New Roman" w:cs="Times New Roman"/>
          <w:b/>
          <w:bCs/>
          <w:sz w:val="12"/>
          <w:szCs w:val="12"/>
        </w:rPr>
      </w:r>
    </w:p>
    <w:p>
      <w:pPr>
        <w:contextualSpacing/>
        <w:ind w:left="28" w:firstLine="681"/>
        <w:jc w:val="both"/>
        <w:keepLines/>
        <w:spacing w:line="200" w:lineRule="atLeast"/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</w:p>
    <w:p>
      <w:pPr>
        <w:contextualSpacing/>
        <w:ind w:left="28" w:firstLine="681"/>
        <w:jc w:val="both"/>
        <w:keepLines/>
        <w:spacing w:line="200" w:lineRule="atLeast"/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</w:p>
    <w:p>
      <w:pPr>
        <w:contextualSpacing w:val="0"/>
        <w:ind w:left="85" w:firstLine="624"/>
        <w:jc w:val="both"/>
        <w:spacing w:line="200" w:lineRule="atLeast"/>
        <w:rPr>
          <w:rFonts w:ascii="Times New Roman" w:hAnsi="Times New Roman" w:cs="Times New Roman"/>
          <w:b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7. Порядок подач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и (приема) и отзыва заявок на участие в электронном аукционе, а также перечень прилагаемых документов: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Для участия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 заявитель представляет организатору электронного аукциона через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электронную площадку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(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hyperlink r:id="rId14" w:tooltip="http://sberbank-ast.ru" w:history="1"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</w:rPr>
          <w:t xml:space="preserve">-</w:t>
        </w:r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936"/>
            <w:rFonts w:ascii="Times New Roman" w:hAnsi="Times New Roman" w:eastAsia="Times New Roman" w:cs="Times New Roman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936"/>
          <w:rFonts w:ascii="Times New Roman" w:hAnsi="Times New Roman" w:eastAsia="Times New Roman" w:cs="Times New Roman"/>
          <w:color w:val="auto"/>
          <w:sz w:val="26"/>
          <w:szCs w:val="26"/>
          <w:u w:val="none"/>
        </w:rPr>
        <w:t xml:space="preserve">)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установленный в извещении о проведении электронного аукциона срок следующие документы: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заявку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  <w:bookmarkStart w:id="0" w:name="undefined"/>
      <w:r/>
      <w:bookmarkEnd w:id="0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копии документов, удостоверяющих личность заявителя (для физических лиц);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6"/>
          <w:szCs w:val="26"/>
        </w:rPr>
        <w:t xml:space="preserve">3) копии учредительных документов заявителя (для юридических лиц);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документ, подтверждающий полномочия лица на осуществление действий </w:t>
      </w:r>
      <w:r>
        <w:rPr>
          <w:rFonts w:ascii="Times New Roman" w:hAnsi="Times New Roman" w:cs="Times New Roman"/>
          <w:sz w:val="26"/>
          <w:szCs w:val="26"/>
        </w:rPr>
        <w:t xml:space="preserve">от имени претендента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претендента без доверенности);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в случае, если от имени претендента действует иное лицо, заявка на участие в аукционе должна содержать также доверенность на осуществление действий от имени </w:t>
      </w:r>
      <w:r>
        <w:rPr>
          <w:rFonts w:ascii="Times New Roman" w:hAnsi="Times New Roman" w:cs="Times New Roman"/>
          <w:sz w:val="26"/>
          <w:szCs w:val="26"/>
        </w:rPr>
        <w:t xml:space="preserve">претендента, заверенную печатью претендента (для юридических лиц) и подписанную руководителем претендента или уполномоченным этим руководителем ли</w:t>
      </w:r>
      <w:r>
        <w:rPr>
          <w:rFonts w:ascii="Times New Roman" w:hAnsi="Times New Roman" w:cs="Times New Roman"/>
          <w:sz w:val="26"/>
          <w:szCs w:val="26"/>
        </w:rPr>
        <w:t xml:space="preserve">цом, либо нотариально заверенную копию такой доверенности. В случае, если указанная доверенность подписана лицом, уполномоченным руководителем претендента, заявка на участие в аукционе должна содержать также документ, подтверждающий полномочия такого лица;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документ, подтверждающий перечисление задатка в установленном размере, с отметкой банка либо заверенный электронной цифровой подписью;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Представление документов, подтвер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ждающих внесение задатка, признается заключением соглашения о задатке.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ением документов.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Один заявитель имеет право подать только одну заявку на участие в электронном аукцион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е.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указанных в п. 1 раздела 3 извещения,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до времени и даты окончания подачи (приема) заявок,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указанных в п. 2 раздела 3 извещения.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Заявитель вправе не позднее даты и времени окончания приема заявок,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указанных в п. 2 разде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ла 3 извещения,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8. Порядок внесения и возврата задатка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8"/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Для участия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 устанавливаются требования о внесении задатка.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8"/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 целях исполнения требований о внесении з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адатка для участия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электронном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8"/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Перечисление денежных средств на счёт Оператора электронной площадки производится п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 следующим реквизитам: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Получатель: АО «Сбербанк-АСТ»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Наименование банка: ПАО «Сбербанк России» г. Москва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БИК 044525225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Расчетный счет (Казначейский счет)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40702810300020038047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Корреспондентский счет (ЕКС)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30101810400000000225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ИНН 7707308480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КПП 770401001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8"/>
        <w:jc w:val="both"/>
        <w:spacing w:line="200" w:lineRule="atLeast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Style w:val="1065"/>
          <w:rFonts w:ascii="Times New Roman" w:hAnsi="Times New Roman" w:eastAsia="Times New Roman" w:cs="Times New Roman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rFonts w:ascii="Times New Roman" w:hAnsi="Times New Roman" w:eastAsia="Times New Roman" w:cs="Times New Roman"/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rFonts w:ascii="Times New Roman" w:hAnsi="Times New Roman" w:eastAsia="Times New Roman" w:cs="Times New Roman"/>
          <w:sz w:val="26"/>
          <w:szCs w:val="26"/>
          <w:shd w:val="clear" w:color="auto" w:fill="ffffff"/>
        </w:rPr>
        <w:t xml:space="preserve">плательщика).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Заявитель обеспечивает поступление задатка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в срок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с 11 сентября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 с 10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час. 00 мин. по 11 октября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202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до 10 час. 00 мин. по ме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стном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 времени.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both"/>
        <w:spacing w:line="200" w:lineRule="atLeas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Плательщиком задатка может быть только заявитель. Не допускается перечисление задатка иными лицами. Перечисленные денежные средства иными лицами, кроме заявителя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нными по адресу </w:t>
      </w:r>
      <w:r>
        <w:rPr>
          <w:rFonts w:ascii="Times New Roman" w:hAnsi="Times New Roman" w:eastAsia="Times New Roman" w:cs="Times New Roman"/>
          <w:b/>
          <w:sz w:val="26"/>
          <w:szCs w:val="26"/>
          <w:lang w:val="en-US"/>
        </w:rPr>
        <w:t xml:space="preserve">utp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.</w:t>
      </w:r>
      <w:hyperlink r:id="rId15" w:tooltip="http://sberbank-ast.ru" w:history="1"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936"/>
            <w:rFonts w:ascii="Times New Roman" w:hAnsi="Times New Roman" w:eastAsia="Times New Roman" w:cs="Times New Roman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rFonts w:ascii="Times New Roman" w:hAnsi="Times New Roman" w:eastAsia="Times New Roman" w:cs="Times New Roman"/>
          <w:sz w:val="26"/>
          <w:szCs w:val="26"/>
        </w:rPr>
        <w:t xml:space="preserve"> (далее – Регламент), а также ЗК РФ.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Операции по перечислению денежных средств на счёт Оператора электронной площадки учитываются на счёте заявителя, откр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тронной площадки. Заблокированные на счете заявителя денежные средства являются задатком. Подача заявки и блокирование задатка является заключением Соглашения о задатке.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Задаток, внесенный лицом, признанным победителем электронного аукциона, задаток, внес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енный иным лицом (подавшим единственную заявку на участие в электронном аукционе, с заявителем, признанным единственным участником электронном аукциона, либо с единственным принявшим участие в аукционе его участником), с которым заключается договор в соотв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етствии с положением ЗК РФ, засчитываются в оплату платежей договора на размещение НТО.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Прекращение</w:t>
      </w:r>
      <w:r>
        <w:rPr>
          <w:rFonts w:ascii="Times New Roman" w:hAnsi="Times New Roman" w:eastAsia="Times New Roman" w:cs="Times New Roman"/>
          <w:spacing w:val="3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блокирования</w:t>
      </w:r>
      <w:r>
        <w:rPr>
          <w:rFonts w:ascii="Times New Roman" w:hAnsi="Times New Roman" w:eastAsia="Times New Roman" w:cs="Times New Roman"/>
          <w:spacing w:val="3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денежных</w:t>
      </w:r>
      <w:r>
        <w:rPr>
          <w:rFonts w:ascii="Times New Roman" w:hAnsi="Times New Roman" w:eastAsia="Times New Roman" w:cs="Times New Roman"/>
          <w:spacing w:val="3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средств</w:t>
      </w:r>
      <w:r>
        <w:rPr>
          <w:rFonts w:ascii="Times New Roman" w:hAnsi="Times New Roman" w:eastAsia="Times New Roman" w:cs="Times New Roman"/>
          <w:spacing w:val="3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</w:t>
      </w:r>
      <w:r>
        <w:rPr>
          <w:rFonts w:ascii="Times New Roman" w:hAnsi="Times New Roman" w:eastAsia="Times New Roman" w:cs="Times New Roman"/>
          <w:spacing w:val="3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счете</w:t>
      </w:r>
      <w:r>
        <w:rPr>
          <w:rFonts w:ascii="Times New Roman" w:hAnsi="Times New Roman" w:eastAsia="Times New Roman" w:cs="Times New Roman"/>
          <w:spacing w:val="3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участника электронного аукциона</w:t>
      </w:r>
      <w:r>
        <w:rPr>
          <w:rFonts w:ascii="Times New Roman" w:hAnsi="Times New Roman" w:eastAsia="Times New Roman" w:cs="Times New Roman"/>
          <w:spacing w:val="3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3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соответствии</w:t>
      </w:r>
      <w:r>
        <w:rPr>
          <w:rFonts w:ascii="Times New Roman" w:hAnsi="Times New Roman" w:eastAsia="Times New Roman" w:cs="Times New Roman"/>
          <w:spacing w:val="3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spacing w:val="39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Регламентом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производится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операторо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электронной площадки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следующем порядке: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-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для заявителя электронного аукциона, отозвавшего заявку до окончания срока приема заявок - в</w:t>
      </w:r>
      <w:r>
        <w:rPr>
          <w:rFonts w:ascii="Times New Roman" w:hAnsi="Times New Roman" w:eastAsia="Times New Roman" w:cs="Times New Roman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течение   3 рабочих</w:t>
      </w:r>
      <w:r>
        <w:rPr>
          <w:rFonts w:ascii="Times New Roman" w:hAnsi="Times New Roman" w:eastAsia="Times New Roman" w:cs="Times New Roman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дней</w:t>
      </w:r>
      <w:r>
        <w:rPr>
          <w:rFonts w:ascii="Times New Roman" w:hAnsi="Times New Roman" w:eastAsia="Times New Roman" w:cs="Times New Roman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   дня</w:t>
      </w:r>
      <w:r>
        <w:rPr>
          <w:rFonts w:ascii="Times New Roman" w:hAnsi="Times New Roman" w:eastAsia="Times New Roman" w:cs="Times New Roman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поступления   уведомления</w:t>
      </w:r>
      <w:r>
        <w:rPr>
          <w:rFonts w:ascii="Times New Roman" w:hAnsi="Times New Roman" w:eastAsia="Times New Roman" w:cs="Times New Roman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об   отзыве</w:t>
      </w:r>
      <w:r>
        <w:rPr>
          <w:rFonts w:ascii="Times New Roman" w:hAnsi="Times New Roman" w:eastAsia="Times New Roman" w:cs="Times New Roman"/>
          <w:spacing w:val="5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заявки</w:t>
      </w:r>
      <w:r>
        <w:rPr>
          <w:rFonts w:ascii="Times New Roman" w:hAnsi="Times New Roman" w:eastAsia="Times New Roman" w:cs="Times New Roman"/>
          <w:spacing w:val="-5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соответствии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 Регламентом;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- для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заявителя, не допущенного к участию в аукционе в электронной форме – в течение 3 рабочих</w:t>
      </w:r>
      <w:r>
        <w:rPr>
          <w:rFonts w:ascii="Times New Roman" w:hAnsi="Times New Roman" w:eastAsia="Times New Roman" w:cs="Times New Roman"/>
          <w:spacing w:val="-7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дней</w:t>
      </w:r>
      <w:r>
        <w:rPr>
          <w:rFonts w:ascii="Times New Roman" w:hAnsi="Times New Roman" w:eastAsia="Times New Roman" w:cs="Times New Roman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дня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оформления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протокола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рассмотрения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заявок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</w:t>
      </w:r>
      <w:r>
        <w:rPr>
          <w:rFonts w:ascii="Times New Roman" w:hAnsi="Times New Roman" w:eastAsia="Times New Roman" w:cs="Times New Roman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участие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-5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соответствии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 Регламентом;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- для участников, участвовавших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аукционе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но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не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победивших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нем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–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течение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3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рабочих</w:t>
      </w:r>
      <w:r>
        <w:rPr>
          <w:rFonts w:ascii="Times New Roman" w:hAnsi="Times New Roman" w:eastAsia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дней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дня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публикации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Протокола</w:t>
      </w:r>
      <w:r>
        <w:rPr>
          <w:rFonts w:ascii="Times New Roman" w:hAnsi="Times New Roman" w:eastAsia="Times New Roman" w:cs="Times New Roman"/>
          <w:spacing w:val="-52"/>
          <w:sz w:val="26"/>
          <w:szCs w:val="26"/>
        </w:rPr>
        <w:t xml:space="preserve"> 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результатах аукциона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электронной</w:t>
      </w:r>
      <w:r>
        <w:rPr>
          <w:rFonts w:ascii="Times New Roman" w:hAnsi="Times New Roman" w:eastAsia="Times New Roman" w:cs="Times New Roman"/>
          <w:spacing w:val="-5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форме</w:t>
      </w:r>
      <w:r>
        <w:rPr>
          <w:rFonts w:ascii="Times New Roman" w:hAnsi="Times New Roman" w:eastAsia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соответствии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Регламентом.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 исключением участника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аукц</w:t>
      </w:r>
      <w:r>
        <w:rPr>
          <w:sz w:val="26"/>
          <w:szCs w:val="26"/>
        </w:rPr>
        <w:t xml:space="preserve">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на размещение НТО победителем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электронного</w:t>
      </w:r>
      <w:r>
        <w:rPr>
          <w:sz w:val="26"/>
          <w:szCs w:val="26"/>
        </w:rPr>
        <w:t xml:space="preserve"> аукцио</w:t>
      </w:r>
      <w:r>
        <w:rPr>
          <w:sz w:val="26"/>
          <w:szCs w:val="26"/>
        </w:rPr>
        <w:t xml:space="preserve">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9. Условия допуска к участию в электронном 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непредставление необходимых для участия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электронном </w:t>
      </w:r>
      <w:r>
        <w:rPr>
          <w:rFonts w:ascii="Times New Roman" w:hAnsi="Times New Roman" w:cs="Times New Roman"/>
          <w:sz w:val="26"/>
          <w:szCs w:val="26"/>
        </w:rPr>
        <w:t xml:space="preserve">аукционе документов, указанных</w:t>
      </w:r>
      <w:r>
        <w:rPr>
          <w:rFonts w:ascii="Times New Roman" w:hAnsi="Times New Roman" w:cs="Times New Roman"/>
          <w:sz w:val="26"/>
          <w:szCs w:val="26"/>
        </w:rPr>
        <w:t xml:space="preserve"> в п.7</w:t>
      </w:r>
      <w:r>
        <w:rPr>
          <w:rFonts w:ascii="Times New Roman" w:hAnsi="Times New Roman" w:cs="Times New Roman"/>
          <w:sz w:val="26"/>
          <w:szCs w:val="26"/>
        </w:rPr>
        <w:t xml:space="preserve">, или представление недостоверных сведений (наличие в содержании документов информации, не соответствующей действительности);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>
        <w:rPr>
          <w:rFonts w:ascii="Times New Roman" w:hAnsi="Times New Roman" w:cs="Times New Roman"/>
          <w:sz w:val="26"/>
          <w:szCs w:val="26"/>
        </w:rPr>
        <w:t xml:space="preserve">непоступление</w:t>
      </w:r>
      <w:r>
        <w:rPr>
          <w:rFonts w:ascii="Times New Roman" w:hAnsi="Times New Roman" w:cs="Times New Roman"/>
          <w:sz w:val="26"/>
          <w:szCs w:val="26"/>
        </w:rPr>
        <w:t xml:space="preserve"> задатка на дату рассмотрения заявок на участие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электронном </w:t>
      </w:r>
      <w:r>
        <w:rPr>
          <w:rFonts w:ascii="Times New Roman" w:hAnsi="Times New Roman" w:cs="Times New Roman"/>
          <w:sz w:val="26"/>
          <w:szCs w:val="26"/>
        </w:rPr>
        <w:t xml:space="preserve">аукционе;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несоответствие заявки на участие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электронном </w:t>
      </w:r>
      <w:r>
        <w:rPr>
          <w:rFonts w:ascii="Times New Roman" w:hAnsi="Times New Roman" w:cs="Times New Roman"/>
          <w:sz w:val="26"/>
          <w:szCs w:val="26"/>
        </w:rPr>
        <w:t xml:space="preserve">аукционе требованиям документации об аукционе, в том числе наличие в таких заявках предложения о цене договора ниже начальной (минимальной) цены договора;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наличие просроченной (неурегулированной) задолженности по налогам, сборам и иным обязательным платежам в бюджеты бюджетной системы Российской Федерации, в том числе в государственные внебюджетные фонды;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наличие возбужденного производства по делу о несостоятельности (банкротстве) в соответствии с законодательством Российской Федерации о несостоятельности (банкротстве);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наличие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предпринимателя.</w:t>
      </w:r>
      <w:bookmarkStart w:id="0" w:name="undefined"/>
      <w:r/>
      <w:bookmarkEnd w:id="0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yellow"/>
        </w:rPr>
      </w:pPr>
      <w:r>
        <w:rPr>
          <w:b/>
          <w:bCs/>
          <w:sz w:val="26"/>
          <w:szCs w:val="26"/>
          <w:highlight w:val="yellow"/>
        </w:rPr>
      </w:r>
      <w:r>
        <w:rPr>
          <w:b/>
          <w:bCs/>
          <w:sz w:val="26"/>
          <w:szCs w:val="26"/>
          <w:highlight w:val="yellow"/>
        </w:rPr>
      </w:r>
      <w:r>
        <w:rPr>
          <w:b/>
          <w:bCs/>
          <w:sz w:val="26"/>
          <w:szCs w:val="26"/>
          <w:highlight w:val="yellow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10.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Решение о признании претендентов участниками электронного аукциона принимается в соответствии с протоколом рассмотрения заявок  на участие в электронном аукционе </w:t>
      </w:r>
      <w:r>
        <w:rPr>
          <w:b w:val="0"/>
          <w:bCs w:val="0"/>
          <w:color w:val="000000"/>
          <w:sz w:val="26"/>
          <w:szCs w:val="26"/>
        </w:rPr>
        <w:t xml:space="preserve">на сайте </w:t>
      </w:r>
      <w:r>
        <w:rPr>
          <w:b w:val="0"/>
          <w:bCs w:val="0"/>
          <w:sz w:val="26"/>
          <w:szCs w:val="26"/>
          <w:lang w:val="en-US"/>
        </w:rPr>
        <w:t xml:space="preserve">utp</w:t>
      </w:r>
      <w:r>
        <w:rPr>
          <w:b w:val="0"/>
          <w:bCs w:val="0"/>
          <w:sz w:val="26"/>
          <w:szCs w:val="26"/>
        </w:rPr>
        <w:t xml:space="preserve">.</w:t>
      </w:r>
      <w:hyperlink r:id="rId16" w:tooltip="http://sberbank-ast.ru" w:history="1">
        <w:r>
          <w:rPr>
            <w:rStyle w:val="936"/>
            <w:b w:val="0"/>
            <w:bCs w:val="0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936"/>
            <w:b w:val="0"/>
            <w:bCs w:val="0"/>
            <w:color w:val="auto"/>
            <w:sz w:val="26"/>
            <w:szCs w:val="26"/>
            <w:u w:val="none"/>
          </w:rPr>
          <w:t xml:space="preserve">-</w:t>
        </w:r>
        <w:r>
          <w:rPr>
            <w:rStyle w:val="936"/>
            <w:b w:val="0"/>
            <w:bCs w:val="0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936"/>
            <w:b w:val="0"/>
            <w:bCs w:val="0"/>
            <w:color w:val="auto"/>
            <w:sz w:val="26"/>
            <w:szCs w:val="26"/>
            <w:u w:val="none"/>
          </w:rPr>
          <w:t xml:space="preserve">.ru</w:t>
        </w:r>
      </w:hyperlink>
      <w:r>
        <w:rPr>
          <w:b w:val="0"/>
          <w:bCs w:val="0"/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9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</w:t>
      </w:r>
      <w:r>
        <w:rPr>
          <w:rFonts w:ascii="Times New Roman" w:hAnsi="Times New Roman" w:cs="Times New Roman"/>
          <w:sz w:val="26"/>
          <w:szCs w:val="26"/>
        </w:rPr>
        <w:t xml:space="preserve">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аукциона. Сведения о коли</w:t>
      </w:r>
      <w:r>
        <w:rPr>
          <w:rFonts w:ascii="Times New Roman" w:hAnsi="Times New Roman" w:cs="Times New Roman"/>
          <w:sz w:val="26"/>
          <w:szCs w:val="26"/>
        </w:rPr>
        <w:t xml:space="preserve">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</w:t>
      </w:r>
      <w:r>
        <w:rPr>
          <w:rFonts w:ascii="Times New Roman" w:hAnsi="Times New Roman" w:cs="Times New Roman"/>
          <w:sz w:val="26"/>
          <w:szCs w:val="26"/>
        </w:rPr>
        <w:t xml:space="preserve">е дня подписания протокола рассмотрения заявок на участие в электронном аукционе.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</w:rPr>
        <w:t xml:space="preserve">Заявителям, признанным участниками электронно</w:t>
      </w:r>
      <w:r>
        <w:rPr>
          <w:b w:val="0"/>
          <w:bCs w:val="0"/>
          <w:sz w:val="26"/>
          <w:szCs w:val="26"/>
        </w:rPr>
        <w:t xml:space="preserve">го аукциона, и з</w:t>
      </w:r>
      <w:r>
        <w:rPr>
          <w:b w:val="0"/>
          <w:bCs w:val="0"/>
          <w:sz w:val="26"/>
          <w:szCs w:val="26"/>
        </w:rPr>
        <w:t xml:space="preserve">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одного рабочего дня, следующего после дня подписания протокола рассмотрения за</w:t>
      </w:r>
      <w:r>
        <w:rPr>
          <w:b w:val="0"/>
          <w:bCs w:val="0"/>
          <w:sz w:val="26"/>
          <w:szCs w:val="26"/>
        </w:rPr>
        <w:t xml:space="preserve">явок.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11.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  <w:highlight w:val="none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аукцион проводится на электронной площадке в день и время, указанные в извещении о проведении электронного аукциона.</w:t>
      </w:r>
      <w:r>
        <w:rPr>
          <w:rFonts w:cs="Calibri"/>
          <w:sz w:val="26"/>
          <w:szCs w:val="26"/>
          <w:highlight w:val="none"/>
        </w:rPr>
      </w:r>
      <w:r>
        <w:rPr>
          <w:rFonts w:cs="Calibri"/>
          <w:sz w:val="26"/>
          <w:szCs w:val="26"/>
          <w:highlight w:val="none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</w:t>
      </w:r>
      <w:r>
        <w:rPr>
          <w:sz w:val="26"/>
          <w:szCs w:val="26"/>
          <w:highlight w:val="white"/>
        </w:rPr>
        <w:t xml:space="preserve">на право заключения договора на размещение НТО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</w:rPr>
        <w:t xml:space="preserve">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Начальная цена предмета электронного а</w:t>
      </w:r>
      <w:r>
        <w:rPr>
          <w:sz w:val="26"/>
          <w:szCs w:val="26"/>
          <w:highlight w:val="white"/>
        </w:rPr>
        <w:t xml:space="preserve">укциона на право заключения договора на размещение НТО</w:t>
      </w:r>
      <w:r>
        <w:rPr>
          <w:bCs/>
          <w:sz w:val="26"/>
          <w:szCs w:val="26"/>
          <w:highlight w:val="white"/>
        </w:rPr>
        <w:t xml:space="preserve">, устанавливается в размере ежегодной платы за право на размещение НТО, определенной по результатам рыночной оценки в соответствии с Федеральным </w:t>
      </w:r>
      <w:hyperlink r:id="rId17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  <w:highlight w:val="white"/>
          </w:rPr>
          <w:t xml:space="preserve">законом</w:t>
        </w:r>
      </w:hyperlink>
      <w:r>
        <w:rPr>
          <w:bCs/>
          <w:sz w:val="26"/>
          <w:szCs w:val="26"/>
          <w:highlight w:val="white"/>
        </w:rPr>
        <w:t xml:space="preserve"> от 29 июля 1998 года N 135-ФЗ "Об оценочной деятельности в Российской Федера</w:t>
      </w:r>
      <w:r>
        <w:rPr>
          <w:bCs/>
          <w:sz w:val="26"/>
          <w:szCs w:val="26"/>
          <w:highlight w:val="white"/>
        </w:rPr>
        <w:t xml:space="preserve">ции" (далее - Федеральный закон "Об оценочной деятельности в Российской Федерации")</w:t>
      </w:r>
      <w:r>
        <w:rPr>
          <w:bCs/>
          <w:sz w:val="26"/>
          <w:szCs w:val="26"/>
          <w:highlight w:val="white"/>
        </w:rPr>
        <w:t xml:space="preserve">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электронного 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Электронный аукцион проводится на электронной площадке ее оператором, функционирующих </w:t>
      </w:r>
      <w:r>
        <w:rPr>
          <w:b w:val="0"/>
          <w:bCs w:val="0"/>
          <w:sz w:val="26"/>
          <w:szCs w:val="26"/>
        </w:rPr>
        <w:t xml:space="preserve"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</w:t>
      </w:r>
      <w:r>
        <w:rPr>
          <w:b w:val="0"/>
          <w:bCs w:val="0"/>
          <w:sz w:val="26"/>
          <w:szCs w:val="26"/>
        </w:rPr>
        <w:t xml:space="preserve">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12.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Победителем электронного аукциона признается участник аукциона предложивший максимальный ежегодный платеж за размещение НТО</w:t>
      </w:r>
      <w:r>
        <w:rPr>
          <w:b w:val="0"/>
          <w:bCs w:val="0"/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Журнал хода торгов оператора электронной площадки подписывается усиленной квалифицированной электронной подписью оператора электронной площадки и размещается им на электронной площадке в течение одного часа после окончания </w:t>
      </w:r>
      <w:r>
        <w:rPr>
          <w:b w:val="0"/>
          <w:bCs w:val="0"/>
          <w:sz w:val="26"/>
          <w:szCs w:val="26"/>
        </w:rPr>
        <w:t xml:space="preserve">электронно</w:t>
      </w:r>
      <w:r>
        <w:rPr>
          <w:b w:val="0"/>
          <w:bCs w:val="0"/>
          <w:sz w:val="26"/>
          <w:szCs w:val="26"/>
        </w:rPr>
        <w:t xml:space="preserve">го аукциона. На основании данного журнала хода торгов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</w:t>
      </w:r>
      <w:r>
        <w:rPr>
          <w:b w:val="0"/>
          <w:bCs w:val="0"/>
          <w:sz w:val="26"/>
          <w:szCs w:val="26"/>
        </w:rPr>
        <w:t xml:space="preserve">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Протокол о результатах электронного аукциона после его размещ</w:t>
      </w:r>
      <w:r>
        <w:rPr>
          <w:b w:val="0"/>
          <w:bCs w:val="0"/>
          <w:sz w:val="26"/>
          <w:szCs w:val="26"/>
        </w:rPr>
        <w:t xml:space="preserve">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Информация о результатах электронного аукциона публикуется на официальных сайтах в сети «Интернет»</w:t>
      </w:r>
      <w:r>
        <w:rPr>
          <w:b w:val="0"/>
          <w:bCs w:val="0"/>
          <w:sz w:val="26"/>
          <w:szCs w:val="26"/>
        </w:rPr>
        <w:t xml:space="preserve">  </w:t>
      </w:r>
      <w:r>
        <w:rPr>
          <w:b w:val="0"/>
          <w:bCs w:val="0"/>
          <w:sz w:val="26"/>
          <w:szCs w:val="26"/>
        </w:rPr>
        <w:t xml:space="preserve">www.torgi.gov. </w:t>
      </w:r>
      <w:r>
        <w:rPr>
          <w:b w:val="0"/>
          <w:bCs w:val="0"/>
          <w:sz w:val="26"/>
          <w:szCs w:val="26"/>
          <w:lang w:val="en-US"/>
        </w:rPr>
        <w:t xml:space="preserve">r</w:t>
      </w:r>
      <w:r>
        <w:rPr>
          <w:b w:val="0"/>
          <w:bCs w:val="0"/>
          <w:sz w:val="26"/>
          <w:szCs w:val="26"/>
        </w:rPr>
        <w:t xml:space="preserve">u (ГИ</w:t>
      </w:r>
      <w:r>
        <w:rPr>
          <w:b w:val="0"/>
          <w:bCs w:val="0"/>
          <w:sz w:val="26"/>
          <w:szCs w:val="26"/>
        </w:rPr>
        <w:t xml:space="preserve">С Торги),</w:t>
      </w:r>
      <w:r>
        <w:rPr>
          <w:b w:val="0"/>
          <w:bCs w:val="0"/>
          <w:sz w:val="26"/>
          <w:szCs w:val="26"/>
        </w:rPr>
        <w:t xml:space="preserve"> </w:t>
      </w:r>
      <w:r>
        <w:rPr>
          <w:b w:val="0"/>
          <w:bCs w:val="0"/>
          <w:sz w:val="26"/>
          <w:szCs w:val="26"/>
          <w:lang w:val="en-US"/>
        </w:rPr>
        <w:t xml:space="preserve">utp</w:t>
      </w:r>
      <w:r>
        <w:rPr>
          <w:b w:val="0"/>
          <w:bCs w:val="0"/>
          <w:sz w:val="26"/>
          <w:szCs w:val="26"/>
        </w:rPr>
        <w:t xml:space="preserve">.</w:t>
      </w:r>
      <w:hyperlink r:id="rId18" w:tooltip="http://sberbank-ast.ru" w:history="1">
        <w:r>
          <w:rPr>
            <w:rStyle w:val="936"/>
            <w:b w:val="0"/>
            <w:bCs w:val="0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936"/>
            <w:b w:val="0"/>
            <w:bCs w:val="0"/>
            <w:color w:val="auto"/>
            <w:sz w:val="26"/>
            <w:szCs w:val="26"/>
            <w:u w:val="none"/>
          </w:rPr>
          <w:t xml:space="preserve">-</w:t>
        </w:r>
        <w:r>
          <w:rPr>
            <w:rStyle w:val="936"/>
            <w:b w:val="0"/>
            <w:bCs w:val="0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936"/>
            <w:b w:val="0"/>
            <w:bCs w:val="0"/>
            <w:color w:val="auto"/>
            <w:sz w:val="26"/>
            <w:szCs w:val="26"/>
            <w:u w:val="none"/>
          </w:rPr>
          <w:t xml:space="preserve">.</w:t>
        </w:r>
        <w:r>
          <w:rPr>
            <w:rStyle w:val="936"/>
            <w:b w:val="0"/>
            <w:bCs w:val="0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936"/>
          <w:b w:val="0"/>
          <w:bCs w:val="0"/>
          <w:color w:val="auto"/>
          <w:sz w:val="26"/>
          <w:szCs w:val="26"/>
          <w:u w:val="none"/>
        </w:rPr>
        <w:t xml:space="preserve"> (</w:t>
      </w:r>
      <w:r>
        <w:rPr>
          <w:b w:val="0"/>
          <w:bCs w:val="0"/>
          <w:sz w:val="26"/>
          <w:szCs w:val="26"/>
        </w:rPr>
        <w:t xml:space="preserve">АО «Сбербанк-АСТ»)</w:t>
      </w:r>
      <w:r>
        <w:rPr>
          <w:rStyle w:val="936"/>
          <w:b w:val="0"/>
          <w:bCs w:val="0"/>
          <w:color w:val="auto"/>
          <w:sz w:val="26"/>
          <w:szCs w:val="26"/>
          <w:u w:val="none"/>
        </w:rPr>
        <w:t xml:space="preserve">,</w:t>
      </w:r>
      <w:r>
        <w:rPr>
          <w:b w:val="0"/>
          <w:bCs w:val="0"/>
          <w:sz w:val="26"/>
          <w:szCs w:val="26"/>
        </w:rPr>
        <w:t xml:space="preserve"> на </w:t>
      </w:r>
      <w:r>
        <w:rPr>
          <w:b w:val="0"/>
          <w:bCs w:val="0"/>
          <w:sz w:val="26"/>
          <w:szCs w:val="26"/>
        </w:rPr>
        <w:t xml:space="preserve">официальном сайте </w:t>
      </w:r>
      <w:r>
        <w:rPr>
          <w:b w:val="0"/>
          <w:bCs w:val="0"/>
          <w:sz w:val="26"/>
          <w:szCs w:val="26"/>
        </w:rPr>
        <w:t xml:space="preserve">уполномоченного органа</w:t>
      </w:r>
      <w:r>
        <w:rPr>
          <w:b w:val="0"/>
          <w:bCs w:val="0"/>
          <w:sz w:val="26"/>
          <w:szCs w:val="26"/>
        </w:rPr>
        <w:t xml:space="preserve"> </w:t>
      </w:r>
      <w:hyperlink r:id="rId19" w:tooltip="http://www.mio.irkobl.ru" w:history="1">
        <w:r>
          <w:rPr>
            <w:b w:val="0"/>
            <w:bCs w:val="0"/>
            <w:sz w:val="26"/>
            <w:szCs w:val="26"/>
          </w:rPr>
          <w:t xml:space="preserve">www.mio.irkobl.</w:t>
        </w:r>
        <w:r>
          <w:rPr>
            <w:b w:val="0"/>
            <w:bCs w:val="0"/>
            <w:sz w:val="26"/>
            <w:szCs w:val="26"/>
            <w:lang w:val="en-US"/>
          </w:rPr>
          <w:t xml:space="preserve">r</w:t>
        </w:r>
        <w:r>
          <w:rPr>
            <w:b w:val="0"/>
            <w:bCs w:val="0"/>
            <w:sz w:val="26"/>
            <w:szCs w:val="26"/>
          </w:rPr>
          <w:t xml:space="preserve">u</w:t>
        </w:r>
      </w:hyperlink>
      <w:r>
        <w:rPr>
          <w:b w:val="0"/>
          <w:bCs w:val="0"/>
          <w:sz w:val="26"/>
          <w:szCs w:val="26"/>
        </w:rPr>
        <w:t xml:space="preserve">  и </w:t>
      </w:r>
      <w:r>
        <w:rPr>
          <w:b w:val="0"/>
          <w:bCs w:val="0"/>
          <w:sz w:val="26"/>
          <w:szCs w:val="26"/>
        </w:rPr>
        <w:t xml:space="preserve"> с</w:t>
      </w:r>
      <w:r>
        <w:rPr>
          <w:b w:val="0"/>
          <w:bCs w:val="0"/>
          <w:sz w:val="26"/>
          <w:szCs w:val="26"/>
        </w:rPr>
        <w:t xml:space="preserve">айте </w:t>
      </w:r>
      <w:r>
        <w:rPr>
          <w:b w:val="0"/>
          <w:bCs w:val="0"/>
          <w:sz w:val="26"/>
          <w:szCs w:val="26"/>
        </w:rPr>
        <w:t xml:space="preserve">организатора аукциона www.irkfi. ru</w:t>
      </w:r>
      <w:r>
        <w:rPr>
          <w:b w:val="0"/>
          <w:bCs w:val="0"/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8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b w:val="0"/>
          <w:bCs w:val="0"/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4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13.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914"/>
        <w:contextualSpacing w:val="0"/>
        <w:ind w:firstLine="708"/>
        <w:jc w:val="both"/>
        <w:spacing w:after="0" w:line="240" w:lineRule="auto"/>
        <w:rPr>
          <w:bCs/>
          <w:iCs/>
          <w:sz w:val="26"/>
          <w:szCs w:val="26"/>
        </w:rPr>
        <w:suppressLineNumbers w:val="0"/>
      </w:pPr>
      <w:r>
        <w:rPr>
          <w:bCs/>
          <w:iCs/>
          <w:sz w:val="26"/>
          <w:szCs w:val="26"/>
        </w:rPr>
        <w:t xml:space="preserve">Заключение договора</w:t>
      </w:r>
      <w:r>
        <w:rPr>
          <w:bCs/>
          <w:iCs/>
          <w:sz w:val="26"/>
          <w:szCs w:val="26"/>
        </w:rPr>
        <w:t xml:space="preserve"> на размещение </w:t>
      </w:r>
      <w:r>
        <w:rPr>
          <w:bCs/>
          <w:iCs/>
          <w:sz w:val="26"/>
          <w:szCs w:val="26"/>
        </w:rPr>
        <w:t xml:space="preserve">с победителем по 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920"/>
        <w:contextualSpacing w:val="0"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 случае если в аукционе участвовал только один участник или при проведении аукциона не присутствовал ни один из участников аукциона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либо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результатам проведения аукциона на право заключения дого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вора на размещение Министерство в течение 10 рабочих дней со дня проведения аукциона осуществляет подготовку проекта договора на размещение, его подписание и направление его победителю аукциона или единственному принявшему участие в аукционе его участнику.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contextualSpacing w:val="0"/>
        <w:ind w:firstLine="540"/>
        <w:jc w:val="both"/>
        <w:spacing w:before="240" w:after="0"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 этом размер платы за размещение нестационарного торгового объекта на основании договора на размещение определяется в размере, предложенном победителем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0"/>
        <w:ind w:firstLine="53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В случае, если в течение десяти рабочих дней со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дня направления участнику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электронного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аукциона, который сделал предпоследнее предложение о цене предмета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электронного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аукциона, проекта договора на размещение НТО этот участник не представил в уполномоченный орган подписанные им договоры,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уполномоченный орган вправе объявить о проведении повторного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электронного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аукциона.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920"/>
        <w:ind w:firstLine="539"/>
        <w:jc w:val="both"/>
        <w:shd w:val="clear" w:color="ffffff" w:themeColor="background1" w:fill="ffffff" w:themeFill="background1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Задаток, внесенный лицом, признанным победителем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электронного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аукциона, задаток, внесенный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иным лицом, с которым договор на размещение НТО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eastAsia="Times New Roman" w:cs="Times New Roman"/>
            <w:sz w:val="26"/>
            <w:szCs w:val="26"/>
            <w:highlight w:val="white"/>
          </w:rPr>
          <w:t xml:space="preserve">пунктом 13</w:t>
        </w:r>
      </w:hyperlink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eastAsia="Times New Roman" w:cs="Times New Roman"/>
            <w:sz w:val="26"/>
            <w:szCs w:val="26"/>
            <w:highlight w:val="white"/>
          </w:rPr>
          <w:t xml:space="preserve">14</w:t>
        </w:r>
      </w:hyperlink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eastAsia="Times New Roman" w:cs="Times New Roman"/>
            <w:sz w:val="26"/>
            <w:szCs w:val="26"/>
            <w:highlight w:val="white"/>
          </w:rPr>
          <w:t xml:space="preserve">20</w:t>
        </w:r>
      </w:hyperlink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eastAsia="Times New Roman" w:cs="Times New Roman"/>
            <w:sz w:val="26"/>
            <w:szCs w:val="26"/>
            <w:highlight w:val="white"/>
          </w:rPr>
          <w:t xml:space="preserve">25</w:t>
        </w:r>
      </w:hyperlink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статьи 39.12 Земельного кодекса Российской Федерации, засчитываются в оплату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договора </w:t>
      </w:r>
      <w:r>
        <w:rPr>
          <w:rFonts w:ascii="Times New Roman" w:hAnsi="Times New Roman" w:eastAsia="Times New Roman" w:cs="Times New Roman"/>
          <w:bCs/>
          <w:iCs/>
          <w:sz w:val="26"/>
          <w:szCs w:val="26"/>
          <w:highlight w:val="white"/>
        </w:rPr>
        <w:t xml:space="preserve">на размещение НТО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. Задатки, внесенные этими лицами, не заключившими в установленном настоящей статьей поряд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ке договора на размещение НТО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914"/>
        <w:ind w:firstLine="708"/>
        <w:spacing w:after="0"/>
        <w:shd w:val="clear" w:color="ffffff" w:themeColor="background1" w:fill="ffffff" w:themeFill="background1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Сведения о победителе электронного аукциона, уклонившихся от заключения договора </w:t>
      </w:r>
      <w:r>
        <w:rPr>
          <w:bCs/>
          <w:iCs/>
          <w:sz w:val="26"/>
          <w:szCs w:val="26"/>
          <w:highlight w:val="white"/>
        </w:rPr>
        <w:t xml:space="preserve">на размещение</w:t>
      </w:r>
      <w:r>
        <w:rPr>
          <w:bCs/>
          <w:iCs/>
          <w:sz w:val="26"/>
          <w:szCs w:val="26"/>
          <w:highlight w:val="white"/>
        </w:rPr>
        <w:t xml:space="preserve"> НТО и об иных лицах, с которые указаны для их заключения в соответствии с п. 13,14,20 или 25 ЗК РФ и которые уклонились от заключения договора, </w:t>
      </w:r>
      <w:r>
        <w:rPr>
          <w:sz w:val="26"/>
          <w:szCs w:val="26"/>
          <w:highlight w:val="white"/>
        </w:rPr>
        <w:t xml:space="preserve">включаются </w:t>
      </w:r>
      <w:r>
        <w:rPr>
          <w:sz w:val="26"/>
          <w:szCs w:val="26"/>
          <w:highlight w:val="white"/>
        </w:rPr>
        <w:t xml:space="preserve">в реестр недобросовестных участников.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ind w:firstLine="540"/>
        <w:jc w:val="both"/>
        <w:shd w:val="clear" w:color="ffffff" w:themeColor="background1" w:fill="ffffff" w:themeFill="background1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4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14.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914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телефону: </w:t>
        <w:br/>
        <w:t xml:space="preserve">20-75-18 (внутр. номер 501, 502),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на официально</w:t>
      </w:r>
      <w:r>
        <w:rPr>
          <w:bCs/>
          <w:sz w:val="26"/>
          <w:szCs w:val="26"/>
        </w:rPr>
        <w:t xml:space="preserve">м сайте уполномоченного органа </w:t>
      </w:r>
      <w:hyperlink r:id="rId20" w:tooltip="http://www.mio.irkobl.ru" w:history="1">
        <w:r>
          <w:rPr>
            <w:rStyle w:val="93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93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93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  <w:u w:val="single"/>
        </w:rPr>
        <w:t xml:space="preserve">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14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914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918"/>
        <w:jc w:val="left"/>
        <w:rPr>
          <w:color w:val="000000"/>
          <w:sz w:val="26"/>
          <w:szCs w:val="26"/>
        </w:rPr>
      </w:pPr>
      <w:r>
        <w:rPr>
          <w:b w:val="0"/>
          <w:bCs w:val="0"/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918"/>
        <w:ind w:firstLine="540"/>
        <w:jc w:val="left"/>
        <w:rPr>
          <w:color w:val="000000"/>
          <w:sz w:val="26"/>
          <w:szCs w:val="26"/>
        </w:rPr>
      </w:pPr>
      <w:r>
        <w:rPr>
          <w:b w:val="0"/>
          <w:bCs w:val="0"/>
          <w:color w:val="000000"/>
          <w:sz w:val="26"/>
          <w:szCs w:val="26"/>
        </w:rPr>
        <w:t xml:space="preserve">  И.о. директора</w:t>
      </w:r>
      <w:r>
        <w:rPr>
          <w:b w:val="0"/>
          <w:bCs w:val="0"/>
          <w:color w:val="000000"/>
          <w:sz w:val="26"/>
          <w:szCs w:val="26"/>
        </w:rPr>
        <w:tab/>
        <w:t xml:space="preserve">                                                                В.А. Ермак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709" w:right="850" w:bottom="993" w:left="1134" w:header="426" w:footer="406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Calibri">
    <w:panose1 w:val="020F050202020403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  <w:jc w:val="center"/>
    </w:pPr>
    <w:r>
      <w:rPr>
        <w:rStyle w:val="913"/>
      </w:rPr>
      <w:fldChar w:fldCharType="begin"/>
    </w:r>
    <w:r>
      <w:rPr>
        <w:rStyle w:val="913"/>
      </w:rPr>
      <w:instrText xml:space="preserve"> PAGE </w:instrText>
    </w:r>
    <w:r>
      <w:rPr>
        <w:rStyle w:val="913"/>
      </w:rPr>
      <w:fldChar w:fldCharType="separate"/>
    </w:r>
    <w:r>
      <w:rPr>
        <w:rStyle w:val="913"/>
      </w:rPr>
      <w:t xml:space="preserve">2</w:t>
    </w:r>
    <w:r>
      <w:rPr>
        <w:rStyle w:val="913"/>
      </w:rP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1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 w:cs="Wingdings"/>
      </w:rPr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26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68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  <w:tabs>
          <w:tab w:val="num" w:pos="78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  <w:tabs>
          <w:tab w:val="num" w:pos="150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  <w:tabs>
          <w:tab w:val="num" w:pos="222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  <w:tabs>
          <w:tab w:val="num" w:pos="294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  <w:tabs>
          <w:tab w:val="num" w:pos="36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  <w:tabs>
          <w:tab w:val="num" w:pos="438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  <w:tabs>
          <w:tab w:val="num" w:pos="510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  <w:tabs>
          <w:tab w:val="num" w:pos="582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  <w:tabs>
          <w:tab w:val="num" w:pos="6540" w:leader="none"/>
        </w:tabs>
      </w:pPr>
      <w:rPr>
        <w:rFonts w:hint="default" w:ascii="Wingdings" w:hAnsi="Wingdings" w:cs="Wingdings"/>
      </w:r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1"/>
  </w:num>
  <w:num w:numId="5">
    <w:abstractNumId w:val="16"/>
  </w:num>
  <w:num w:numId="6">
    <w:abstractNumId w:val="22"/>
  </w:num>
  <w:num w:numId="7">
    <w:abstractNumId w:val="2"/>
  </w:num>
  <w:num w:numId="8">
    <w:abstractNumId w:val="3"/>
  </w:num>
  <w:num w:numId="9">
    <w:abstractNumId w:val="15"/>
  </w:num>
  <w:num w:numId="10">
    <w:abstractNumId w:val="5"/>
  </w:num>
  <w:num w:numId="11">
    <w:abstractNumId w:val="6"/>
  </w:num>
  <w:num w:numId="12">
    <w:abstractNumId w:val="20"/>
  </w:num>
  <w:num w:numId="13">
    <w:abstractNumId w:val="10"/>
  </w:num>
  <w:num w:numId="14">
    <w:abstractNumId w:val="7"/>
  </w:num>
  <w:num w:numId="15">
    <w:abstractNumId w:val="13"/>
  </w:num>
  <w:num w:numId="16">
    <w:abstractNumId w:val="12"/>
  </w:num>
  <w:num w:numId="17">
    <w:abstractNumId w:val="21"/>
  </w:num>
  <w:num w:numId="18">
    <w:abstractNumId w:val="14"/>
  </w:num>
  <w:num w:numId="19">
    <w:abstractNumId w:val="9"/>
  </w:num>
  <w:num w:numId="20">
    <w:abstractNumId w:val="8"/>
  </w:num>
  <w:num w:numId="21">
    <w:abstractNumId w:val="18"/>
  </w:num>
  <w:num w:numId="22">
    <w:abstractNumId w:val="17"/>
  </w:num>
  <w:num w:numId="23">
    <w:abstractNumId w:val="1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8">
    <w:name w:val="Heading 1 Char"/>
    <w:basedOn w:val="899"/>
    <w:link w:val="896"/>
    <w:uiPriority w:val="9"/>
    <w:rPr>
      <w:rFonts w:ascii="Arial" w:hAnsi="Arial" w:eastAsia="Arial" w:cs="Arial"/>
      <w:sz w:val="40"/>
      <w:szCs w:val="40"/>
    </w:rPr>
  </w:style>
  <w:style w:type="character" w:styleId="729">
    <w:name w:val="Heading 2 Char"/>
    <w:basedOn w:val="899"/>
    <w:link w:val="897"/>
    <w:uiPriority w:val="9"/>
    <w:rPr>
      <w:rFonts w:ascii="Arial" w:hAnsi="Arial" w:eastAsia="Arial" w:cs="Arial"/>
      <w:sz w:val="34"/>
    </w:rPr>
  </w:style>
  <w:style w:type="character" w:styleId="730">
    <w:name w:val="Heading 3 Char"/>
    <w:basedOn w:val="899"/>
    <w:link w:val="898"/>
    <w:uiPriority w:val="9"/>
    <w:rPr>
      <w:rFonts w:ascii="Arial" w:hAnsi="Arial" w:eastAsia="Arial" w:cs="Arial"/>
      <w:sz w:val="30"/>
      <w:szCs w:val="30"/>
    </w:rPr>
  </w:style>
  <w:style w:type="paragraph" w:styleId="731">
    <w:name w:val="Heading 4"/>
    <w:basedOn w:val="895"/>
    <w:next w:val="895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2">
    <w:name w:val="Heading 4 Char"/>
    <w:basedOn w:val="899"/>
    <w:link w:val="731"/>
    <w:uiPriority w:val="9"/>
    <w:rPr>
      <w:rFonts w:ascii="Arial" w:hAnsi="Arial" w:eastAsia="Arial" w:cs="Arial"/>
      <w:b/>
      <w:bCs/>
      <w:sz w:val="26"/>
      <w:szCs w:val="26"/>
    </w:rPr>
  </w:style>
  <w:style w:type="paragraph" w:styleId="733">
    <w:name w:val="Heading 5"/>
    <w:basedOn w:val="895"/>
    <w:next w:val="895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4">
    <w:name w:val="Heading 5 Char"/>
    <w:basedOn w:val="899"/>
    <w:link w:val="733"/>
    <w:uiPriority w:val="9"/>
    <w:rPr>
      <w:rFonts w:ascii="Arial" w:hAnsi="Arial" w:eastAsia="Arial" w:cs="Arial"/>
      <w:b/>
      <w:bCs/>
      <w:sz w:val="24"/>
      <w:szCs w:val="24"/>
    </w:rPr>
  </w:style>
  <w:style w:type="paragraph" w:styleId="735">
    <w:name w:val="Heading 6"/>
    <w:basedOn w:val="895"/>
    <w:next w:val="895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6">
    <w:name w:val="Heading 6 Char"/>
    <w:basedOn w:val="899"/>
    <w:link w:val="735"/>
    <w:uiPriority w:val="9"/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895"/>
    <w:next w:val="895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>
    <w:name w:val="Heading 7 Char"/>
    <w:basedOn w:val="899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895"/>
    <w:next w:val="895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0">
    <w:name w:val="Heading 8 Char"/>
    <w:basedOn w:val="899"/>
    <w:link w:val="739"/>
    <w:uiPriority w:val="9"/>
    <w:rPr>
      <w:rFonts w:ascii="Arial" w:hAnsi="Arial" w:eastAsia="Arial" w:cs="Arial"/>
      <w:i/>
      <w:iCs/>
      <w:sz w:val="22"/>
      <w:szCs w:val="22"/>
    </w:rPr>
  </w:style>
  <w:style w:type="paragraph" w:styleId="741">
    <w:name w:val="Heading 9"/>
    <w:basedOn w:val="895"/>
    <w:next w:val="895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>
    <w:name w:val="Heading 9 Char"/>
    <w:basedOn w:val="899"/>
    <w:link w:val="741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No Spacing"/>
    <w:uiPriority w:val="1"/>
    <w:qFormat/>
    <w:pPr>
      <w:spacing w:before="0" w:after="0" w:line="240" w:lineRule="auto"/>
    </w:pPr>
  </w:style>
  <w:style w:type="character" w:styleId="744">
    <w:name w:val="Title Char"/>
    <w:basedOn w:val="899"/>
    <w:link w:val="918"/>
    <w:uiPriority w:val="10"/>
    <w:rPr>
      <w:sz w:val="48"/>
      <w:szCs w:val="48"/>
    </w:rPr>
  </w:style>
  <w:style w:type="paragraph" w:styleId="745">
    <w:name w:val="Subtitle"/>
    <w:basedOn w:val="895"/>
    <w:next w:val="895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>
    <w:name w:val="Subtitle Char"/>
    <w:basedOn w:val="899"/>
    <w:link w:val="745"/>
    <w:uiPriority w:val="11"/>
    <w:rPr>
      <w:sz w:val="24"/>
      <w:szCs w:val="24"/>
    </w:rPr>
  </w:style>
  <w:style w:type="paragraph" w:styleId="747">
    <w:name w:val="Quote"/>
    <w:basedOn w:val="895"/>
    <w:next w:val="895"/>
    <w:link w:val="748"/>
    <w:uiPriority w:val="29"/>
    <w:qFormat/>
    <w:pPr>
      <w:ind w:left="720" w:right="720"/>
    </w:pPr>
    <w:rPr>
      <w:i/>
    </w:rPr>
  </w:style>
  <w:style w:type="character" w:styleId="748">
    <w:name w:val="Quote Char"/>
    <w:link w:val="747"/>
    <w:uiPriority w:val="29"/>
    <w:rPr>
      <w:i/>
    </w:rPr>
  </w:style>
  <w:style w:type="paragraph" w:styleId="749">
    <w:name w:val="Intense Quote"/>
    <w:basedOn w:val="895"/>
    <w:next w:val="895"/>
    <w:link w:val="75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>
    <w:name w:val="Intense Quote Char"/>
    <w:link w:val="749"/>
    <w:uiPriority w:val="30"/>
    <w:rPr>
      <w:i/>
    </w:rPr>
  </w:style>
  <w:style w:type="character" w:styleId="751">
    <w:name w:val="Header Char"/>
    <w:basedOn w:val="899"/>
    <w:link w:val="909"/>
    <w:uiPriority w:val="99"/>
  </w:style>
  <w:style w:type="character" w:styleId="752">
    <w:name w:val="Footer Char"/>
    <w:basedOn w:val="899"/>
    <w:link w:val="911"/>
    <w:uiPriority w:val="99"/>
  </w:style>
  <w:style w:type="paragraph" w:styleId="753">
    <w:name w:val="Caption"/>
    <w:basedOn w:val="895"/>
    <w:next w:val="895"/>
    <w:link w:val="7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4">
    <w:name w:val="Caption Char"/>
    <w:basedOn w:val="899"/>
    <w:link w:val="753"/>
    <w:uiPriority w:val="35"/>
    <w:rPr>
      <w:b/>
      <w:bCs/>
      <w:color w:val="4f81bd" w:themeColor="accent1"/>
      <w:sz w:val="18"/>
      <w:szCs w:val="18"/>
    </w:rPr>
  </w:style>
  <w:style w:type="table" w:styleId="755">
    <w:name w:val="Table Grid Light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Plain Table 1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2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9">
    <w:name w:val="Plain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Plain Table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1">
    <w:name w:val="Grid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3">
    <w:name w:val="Grid Table 4 - Accent 1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4">
    <w:name w:val="Grid Table 4 - Accent 2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Grid Table 4 - Accent 3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6">
    <w:name w:val="Grid Table 4 - Accent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Grid Table 4 - Accent 5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8">
    <w:name w:val="Grid Table 4 - Accent 6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9">
    <w:name w:val="Grid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6">
    <w:name w:val="Grid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7">
    <w:name w:val="Grid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8">
    <w:name w:val="Grid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9">
    <w:name w:val="Grid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0">
    <w:name w:val="Grid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1">
    <w:name w:val="Grid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3">
    <w:name w:val="Grid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8">
    <w:name w:val="List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9">
    <w:name w:val="List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0">
    <w:name w:val="List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1">
    <w:name w:val="List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2">
    <w:name w:val="List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3">
    <w:name w:val="List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4">
    <w:name w:val="List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6">
    <w:name w:val="List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7">
    <w:name w:val="List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8">
    <w:name w:val="List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9">
    <w:name w:val="List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0">
    <w:name w:val="List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1">
    <w:name w:val="List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2">
    <w:name w:val="List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3">
    <w:name w:val="List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4">
    <w:name w:val="List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5">
    <w:name w:val="List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6">
    <w:name w:val="List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7">
    <w:name w:val="List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8">
    <w:name w:val="List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9">
    <w:name w:val="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1">
    <w:name w:val="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2">
    <w:name w:val="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3">
    <w:name w:val="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4">
    <w:name w:val="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5">
    <w:name w:val="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6">
    <w:name w:val="Bordered &amp; 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7">
    <w:name w:val="Bordered &amp; 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8">
    <w:name w:val="Bordered &amp; 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9">
    <w:name w:val="Bordered &amp; 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0">
    <w:name w:val="Bordered &amp; 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1">
    <w:name w:val="Bordered &amp; 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2">
    <w:name w:val="Bordered &amp; 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3">
    <w:name w:val="Bordered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4">
    <w:name w:val="Bordered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5">
    <w:name w:val="Bordered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6">
    <w:name w:val="Bordered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7">
    <w:name w:val="Bordered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8">
    <w:name w:val="Bordered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9">
    <w:name w:val="Bordered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0">
    <w:name w:val="Footnote Text Char"/>
    <w:link w:val="926"/>
    <w:uiPriority w:val="99"/>
    <w:rPr>
      <w:sz w:val="18"/>
    </w:rPr>
  </w:style>
  <w:style w:type="paragraph" w:styleId="881">
    <w:name w:val="endnote text"/>
    <w:basedOn w:val="895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>
    <w:name w:val="Endnote Text Char"/>
    <w:link w:val="881"/>
    <w:uiPriority w:val="99"/>
    <w:rPr>
      <w:sz w:val="20"/>
    </w:rPr>
  </w:style>
  <w:style w:type="character" w:styleId="883">
    <w:name w:val="endnote reference"/>
    <w:basedOn w:val="899"/>
    <w:uiPriority w:val="99"/>
    <w:semiHidden/>
    <w:unhideWhenUsed/>
    <w:rPr>
      <w:vertAlign w:val="superscript"/>
    </w:rPr>
  </w:style>
  <w:style w:type="paragraph" w:styleId="884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5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6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7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8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89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0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1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2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qFormat/>
    <w:rPr>
      <w:sz w:val="24"/>
      <w:szCs w:val="24"/>
    </w:rPr>
  </w:style>
  <w:style w:type="paragraph" w:styleId="896">
    <w:name w:val="Heading 1"/>
    <w:basedOn w:val="895"/>
    <w:next w:val="895"/>
    <w:link w:val="902"/>
    <w:uiPriority w:val="99"/>
    <w:qFormat/>
    <w:pPr>
      <w:ind w:firstLine="720"/>
      <w:keepNext/>
      <w:outlineLvl w:val="0"/>
    </w:pPr>
    <w:rPr>
      <w:rFonts w:ascii="Arial" w:hAnsi="Arial" w:cs="Arial"/>
      <w:b/>
      <w:bCs/>
    </w:rPr>
  </w:style>
  <w:style w:type="paragraph" w:styleId="897">
    <w:name w:val="Heading 2"/>
    <w:basedOn w:val="895"/>
    <w:next w:val="895"/>
    <w:link w:val="903"/>
    <w:uiPriority w:val="99"/>
    <w:qFormat/>
    <w:pPr>
      <w:jc w:val="both"/>
      <w:keepNext/>
      <w:outlineLvl w:val="1"/>
    </w:pPr>
    <w:rPr>
      <w:b/>
      <w:bCs/>
    </w:rPr>
  </w:style>
  <w:style w:type="paragraph" w:styleId="898">
    <w:name w:val="Heading 3"/>
    <w:basedOn w:val="895"/>
    <w:next w:val="895"/>
    <w:link w:val="904"/>
    <w:uiPriority w:val="99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styleId="899" w:default="1">
    <w:name w:val="Default Paragraph Font"/>
    <w:uiPriority w:val="1"/>
    <w:semiHidden/>
    <w:unhideWhenUsed/>
  </w:style>
  <w:style w:type="table" w:styleId="9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1" w:default="1">
    <w:name w:val="No List"/>
    <w:uiPriority w:val="99"/>
    <w:semiHidden/>
    <w:unhideWhenUsed/>
  </w:style>
  <w:style w:type="character" w:styleId="902" w:customStyle="1">
    <w:name w:val="Заголовок 1 Знак"/>
    <w:basedOn w:val="899"/>
    <w:link w:val="896"/>
    <w:uiPriority w:val="99"/>
    <w:rPr>
      <w:rFonts w:ascii="Arial" w:hAnsi="Arial" w:cs="Arial"/>
      <w:b/>
      <w:bCs/>
      <w:sz w:val="22"/>
      <w:szCs w:val="22"/>
    </w:rPr>
  </w:style>
  <w:style w:type="character" w:styleId="903" w:customStyle="1">
    <w:name w:val="Заголовок 2 Знак"/>
    <w:basedOn w:val="899"/>
    <w:link w:val="897"/>
    <w:uiPriority w:val="99"/>
    <w:semiHidden/>
    <w:rPr>
      <w:rFonts w:ascii="Cambria" w:hAnsi="Cambria" w:cs="Cambria"/>
      <w:b/>
      <w:bCs/>
      <w:i/>
      <w:iCs/>
      <w:sz w:val="28"/>
      <w:szCs w:val="28"/>
    </w:rPr>
  </w:style>
  <w:style w:type="character" w:styleId="904" w:customStyle="1">
    <w:name w:val="Заголовок 3 Знак"/>
    <w:basedOn w:val="899"/>
    <w:link w:val="898"/>
    <w:uiPriority w:val="99"/>
    <w:rPr>
      <w:rFonts w:ascii="Cambria" w:hAnsi="Cambria" w:cs="Cambria"/>
      <w:b/>
      <w:bCs/>
      <w:sz w:val="26"/>
      <w:szCs w:val="26"/>
    </w:rPr>
  </w:style>
  <w:style w:type="paragraph" w:styleId="905">
    <w:name w:val="Body Text Indent"/>
    <w:basedOn w:val="895"/>
    <w:link w:val="906"/>
    <w:uiPriority w:val="99"/>
    <w:semiHidden/>
    <w:pPr>
      <w:ind w:firstLine="720"/>
      <w:jc w:val="both"/>
    </w:pPr>
    <w:rPr>
      <w:sz w:val="22"/>
      <w:szCs w:val="22"/>
    </w:rPr>
  </w:style>
  <w:style w:type="character" w:styleId="906" w:customStyle="1">
    <w:name w:val="Основной текст с отступом Знак"/>
    <w:basedOn w:val="899"/>
    <w:link w:val="905"/>
    <w:uiPriority w:val="99"/>
    <w:semiHidden/>
    <w:rPr>
      <w:sz w:val="24"/>
      <w:szCs w:val="24"/>
    </w:rPr>
  </w:style>
  <w:style w:type="paragraph" w:styleId="907">
    <w:name w:val="Body Text Indent 2"/>
    <w:basedOn w:val="895"/>
    <w:link w:val="908"/>
    <w:uiPriority w:val="99"/>
    <w:semiHidden/>
    <w:pPr>
      <w:ind w:firstLine="720"/>
      <w:jc w:val="both"/>
    </w:pPr>
    <w:rPr>
      <w:b/>
      <w:bCs/>
      <w:sz w:val="22"/>
      <w:szCs w:val="22"/>
    </w:rPr>
  </w:style>
  <w:style w:type="character" w:styleId="908" w:customStyle="1">
    <w:name w:val="Основной текст с отступом 2 Знак"/>
    <w:basedOn w:val="899"/>
    <w:link w:val="907"/>
    <w:uiPriority w:val="99"/>
    <w:semiHidden/>
    <w:rPr>
      <w:sz w:val="24"/>
      <w:szCs w:val="24"/>
    </w:rPr>
  </w:style>
  <w:style w:type="paragraph" w:styleId="909">
    <w:name w:val="Header"/>
    <w:basedOn w:val="895"/>
    <w:link w:val="910"/>
    <w:uiPriority w:val="99"/>
    <w:semiHidden/>
    <w:pPr>
      <w:tabs>
        <w:tab w:val="center" w:pos="4677" w:leader="none"/>
        <w:tab w:val="right" w:pos="9355" w:leader="none"/>
      </w:tabs>
    </w:pPr>
  </w:style>
  <w:style w:type="character" w:styleId="910" w:customStyle="1">
    <w:name w:val="Верхний колонтитул Знак"/>
    <w:basedOn w:val="899"/>
    <w:link w:val="909"/>
    <w:uiPriority w:val="99"/>
    <w:semiHidden/>
    <w:rPr>
      <w:sz w:val="24"/>
      <w:szCs w:val="24"/>
    </w:rPr>
  </w:style>
  <w:style w:type="paragraph" w:styleId="911">
    <w:name w:val="Footer"/>
    <w:basedOn w:val="895"/>
    <w:link w:val="912"/>
    <w:uiPriority w:val="99"/>
    <w:semiHidden/>
    <w:pPr>
      <w:tabs>
        <w:tab w:val="center" w:pos="4677" w:leader="none"/>
        <w:tab w:val="right" w:pos="9355" w:leader="none"/>
      </w:tabs>
    </w:pPr>
  </w:style>
  <w:style w:type="character" w:styleId="912" w:customStyle="1">
    <w:name w:val="Нижний колонтитул Знак"/>
    <w:basedOn w:val="899"/>
    <w:link w:val="911"/>
    <w:uiPriority w:val="99"/>
    <w:semiHidden/>
    <w:rPr>
      <w:sz w:val="24"/>
      <w:szCs w:val="24"/>
    </w:rPr>
  </w:style>
  <w:style w:type="character" w:styleId="913">
    <w:name w:val="page number"/>
    <w:basedOn w:val="899"/>
    <w:uiPriority w:val="99"/>
    <w:semiHidden/>
  </w:style>
  <w:style w:type="paragraph" w:styleId="914">
    <w:name w:val="Body Text"/>
    <w:basedOn w:val="895"/>
    <w:link w:val="915"/>
    <w:uiPriority w:val="99"/>
    <w:semiHidden/>
    <w:pPr>
      <w:jc w:val="both"/>
      <w:spacing w:after="120"/>
      <w:widowControl w:val="off"/>
    </w:pPr>
    <w:rPr>
      <w:sz w:val="28"/>
      <w:szCs w:val="28"/>
    </w:rPr>
  </w:style>
  <w:style w:type="character" w:styleId="915" w:customStyle="1">
    <w:name w:val="Основной текст Знак"/>
    <w:basedOn w:val="899"/>
    <w:link w:val="914"/>
    <w:uiPriority w:val="99"/>
    <w:semiHidden/>
    <w:rPr>
      <w:sz w:val="28"/>
      <w:szCs w:val="28"/>
    </w:rPr>
  </w:style>
  <w:style w:type="paragraph" w:styleId="916">
    <w:name w:val="Body Text Indent 3"/>
    <w:basedOn w:val="895"/>
    <w:link w:val="917"/>
    <w:uiPriority w:val="99"/>
    <w:semiHidden/>
    <w:pPr>
      <w:ind w:firstLine="720"/>
      <w:jc w:val="both"/>
    </w:pPr>
    <w:rPr>
      <w:b/>
      <w:bCs/>
    </w:rPr>
  </w:style>
  <w:style w:type="character" w:styleId="917" w:customStyle="1">
    <w:name w:val="Основной текст с отступом 3 Знак"/>
    <w:basedOn w:val="899"/>
    <w:link w:val="916"/>
    <w:uiPriority w:val="99"/>
    <w:semiHidden/>
    <w:rPr>
      <w:b/>
      <w:bCs/>
      <w:sz w:val="22"/>
      <w:szCs w:val="22"/>
    </w:rPr>
  </w:style>
  <w:style w:type="paragraph" w:styleId="918">
    <w:name w:val="Title"/>
    <w:basedOn w:val="895"/>
    <w:link w:val="919"/>
    <w:uiPriority w:val="99"/>
    <w:qFormat/>
    <w:pPr>
      <w:jc w:val="center"/>
    </w:pPr>
    <w:rPr>
      <w:b/>
      <w:bCs/>
      <w:sz w:val="20"/>
      <w:szCs w:val="20"/>
    </w:rPr>
  </w:style>
  <w:style w:type="character" w:styleId="919" w:customStyle="1">
    <w:name w:val="Заголовок Знак"/>
    <w:basedOn w:val="899"/>
    <w:link w:val="918"/>
    <w:uiPriority w:val="99"/>
    <w:rPr>
      <w:rFonts w:ascii="Cambria" w:hAnsi="Cambria" w:cs="Cambria"/>
      <w:b/>
      <w:bCs/>
      <w:sz w:val="32"/>
      <w:szCs w:val="32"/>
    </w:rPr>
  </w:style>
  <w:style w:type="paragraph" w:styleId="920" w:customStyle="1">
    <w:name w:val="ConsPlusNormal"/>
    <w:pPr>
      <w:ind w:firstLine="720"/>
      <w:widowControl w:val="off"/>
    </w:pPr>
    <w:rPr>
      <w:rFonts w:ascii="Arial" w:hAnsi="Arial" w:cs="Arial"/>
      <w:sz w:val="20"/>
      <w:szCs w:val="20"/>
    </w:rPr>
  </w:style>
  <w:style w:type="paragraph" w:styleId="921" w:customStyle="1">
    <w:name w:val="ConsNormal"/>
    <w:uiPriority w:val="99"/>
    <w:pPr>
      <w:ind w:right="19772" w:firstLine="720"/>
      <w:widowControl w:val="off"/>
    </w:pPr>
    <w:rPr>
      <w:rFonts w:ascii="Arial" w:hAnsi="Arial" w:cs="Arial"/>
      <w:sz w:val="20"/>
      <w:szCs w:val="20"/>
    </w:rPr>
  </w:style>
  <w:style w:type="paragraph" w:styleId="922">
    <w:name w:val="Body Text 3"/>
    <w:basedOn w:val="895"/>
    <w:link w:val="923"/>
    <w:uiPriority w:val="99"/>
    <w:semiHidden/>
    <w:pPr>
      <w:spacing w:after="120"/>
    </w:pPr>
    <w:rPr>
      <w:sz w:val="16"/>
      <w:szCs w:val="16"/>
    </w:rPr>
  </w:style>
  <w:style w:type="character" w:styleId="923" w:customStyle="1">
    <w:name w:val="Основной текст 3 Знак"/>
    <w:basedOn w:val="899"/>
    <w:link w:val="922"/>
    <w:uiPriority w:val="99"/>
    <w:semiHidden/>
    <w:rPr>
      <w:sz w:val="16"/>
      <w:szCs w:val="16"/>
    </w:rPr>
  </w:style>
  <w:style w:type="paragraph" w:styleId="924">
    <w:name w:val="List Paragraph"/>
    <w:basedOn w:val="895"/>
    <w:uiPriority w:val="99"/>
    <w:qFormat/>
    <w:pPr>
      <w:ind w:left="720" w:firstLine="539"/>
      <w:jc w:val="both"/>
      <w:spacing w:before="100" w:beforeAutospacing="1" w:after="100" w:afterAutospacing="1"/>
    </w:pPr>
    <w:rPr>
      <w:rFonts w:ascii="Calibri" w:hAnsi="Calibri" w:cs="Calibri"/>
      <w:sz w:val="22"/>
      <w:szCs w:val="22"/>
      <w:lang w:eastAsia="en-US"/>
    </w:rPr>
  </w:style>
  <w:style w:type="paragraph" w:styleId="925" w:customStyle="1">
    <w:name w:val="ConsPlusCell"/>
    <w:uiPriority w:val="99"/>
    <w:pPr>
      <w:widowControl w:val="off"/>
    </w:pPr>
    <w:rPr>
      <w:rFonts w:ascii="Arial" w:hAnsi="Arial" w:cs="Arial"/>
      <w:sz w:val="20"/>
      <w:szCs w:val="20"/>
    </w:rPr>
  </w:style>
  <w:style w:type="paragraph" w:styleId="926">
    <w:name w:val="footnote text"/>
    <w:basedOn w:val="895"/>
    <w:link w:val="927"/>
    <w:uiPriority w:val="99"/>
    <w:semiHidden/>
    <w:rPr>
      <w:sz w:val="20"/>
      <w:szCs w:val="20"/>
    </w:rPr>
  </w:style>
  <w:style w:type="character" w:styleId="927" w:customStyle="1">
    <w:name w:val="Текст сноски Знак"/>
    <w:basedOn w:val="899"/>
    <w:link w:val="926"/>
    <w:uiPriority w:val="99"/>
    <w:semiHidden/>
  </w:style>
  <w:style w:type="character" w:styleId="928">
    <w:name w:val="footnote reference"/>
    <w:basedOn w:val="899"/>
    <w:uiPriority w:val="99"/>
    <w:semiHidden/>
    <w:rPr>
      <w:vertAlign w:val="superscript"/>
    </w:rPr>
  </w:style>
  <w:style w:type="character" w:styleId="929" w:customStyle="1">
    <w:name w:val="grame"/>
    <w:basedOn w:val="899"/>
    <w:uiPriority w:val="99"/>
  </w:style>
  <w:style w:type="paragraph" w:styleId="930" w:customStyle="1">
    <w:name w:val="Знак Знак Знак Знак"/>
    <w:basedOn w:val="895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931">
    <w:name w:val="Balloon Text"/>
    <w:basedOn w:val="895"/>
    <w:link w:val="932"/>
    <w:uiPriority w:val="99"/>
    <w:semiHidden/>
    <w:rPr>
      <w:rFonts w:ascii="Tahoma" w:hAnsi="Tahoma" w:cs="Tahoma"/>
      <w:sz w:val="16"/>
      <w:szCs w:val="16"/>
    </w:rPr>
  </w:style>
  <w:style w:type="character" w:styleId="932" w:customStyle="1">
    <w:name w:val="Текст выноски Знак"/>
    <w:basedOn w:val="899"/>
    <w:link w:val="931"/>
    <w:uiPriority w:val="99"/>
    <w:semiHidden/>
    <w:rPr>
      <w:rFonts w:ascii="Tahoma" w:hAnsi="Tahoma" w:cs="Tahoma"/>
      <w:sz w:val="16"/>
      <w:szCs w:val="16"/>
    </w:rPr>
  </w:style>
  <w:style w:type="table" w:styleId="933">
    <w:name w:val="Table Grid"/>
    <w:basedOn w:val="900"/>
    <w:uiPriority w:val="99"/>
    <w:rPr>
      <w:rFonts w:ascii="Calibri" w:hAnsi="Calibri" w:cs="Calibri"/>
      <w:sz w:val="20"/>
      <w:szCs w:val="20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4">
    <w:name w:val="Body Text 2"/>
    <w:basedOn w:val="895"/>
    <w:link w:val="935"/>
    <w:uiPriority w:val="99"/>
    <w:semiHidden/>
    <w:pPr>
      <w:jc w:val="both"/>
      <w:spacing w:before="100" w:beforeAutospacing="1" w:after="100" w:afterAutospacing="1"/>
      <w:tabs>
        <w:tab w:val="num" w:pos="0" w:leader="none"/>
      </w:tabs>
    </w:pPr>
    <w:rPr>
      <w:rFonts w:ascii="Arial Unicode MS" w:eastAsia="Arial Unicode MS" w:cs="Arial Unicode MS"/>
      <w:sz w:val="20"/>
      <w:szCs w:val="20"/>
    </w:rPr>
  </w:style>
  <w:style w:type="character" w:styleId="935" w:customStyle="1">
    <w:name w:val="Основной текст 2 Знак"/>
    <w:basedOn w:val="899"/>
    <w:link w:val="934"/>
    <w:uiPriority w:val="99"/>
    <w:semiHidden/>
    <w:rPr>
      <w:rFonts w:ascii="Arial Unicode MS" w:eastAsia="Arial Unicode MS" w:cs="Arial Unicode MS"/>
      <w:sz w:val="24"/>
      <w:szCs w:val="24"/>
    </w:rPr>
  </w:style>
  <w:style w:type="character" w:styleId="936">
    <w:name w:val="Hyperlink"/>
    <w:basedOn w:val="899"/>
    <w:uiPriority w:val="99"/>
    <w:semiHidden/>
    <w:rPr>
      <w:color w:val="0000ff"/>
      <w:u w:val="single"/>
    </w:rPr>
  </w:style>
  <w:style w:type="character" w:styleId="937">
    <w:name w:val="FollowedHyperlink"/>
    <w:basedOn w:val="899"/>
    <w:uiPriority w:val="99"/>
    <w:semiHidden/>
    <w:rPr>
      <w:color w:val="800080"/>
      <w:u w:val="single"/>
    </w:rPr>
  </w:style>
  <w:style w:type="paragraph" w:styleId="938" w:customStyle="1">
    <w:name w:val="font5"/>
    <w:basedOn w:val="895"/>
    <w:uiPriority w:val="99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styleId="939" w:customStyle="1">
    <w:name w:val="font6"/>
    <w:basedOn w:val="895"/>
    <w:uiPriority w:val="99"/>
    <w:pPr>
      <w:spacing w:before="100" w:beforeAutospacing="1" w:after="100" w:afterAutospacing="1"/>
    </w:pPr>
    <w:rPr>
      <w:rFonts w:ascii="Calibri" w:hAnsi="Calibri" w:cs="Calibri"/>
      <w:b/>
      <w:bCs/>
      <w:i/>
      <w:iCs/>
      <w:color w:val="000000"/>
      <w:sz w:val="22"/>
      <w:szCs w:val="22"/>
    </w:rPr>
  </w:style>
  <w:style w:type="paragraph" w:styleId="940" w:customStyle="1">
    <w:name w:val="xl66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41" w:customStyle="1">
    <w:name w:val="xl67"/>
    <w:basedOn w:val="895"/>
    <w:uiPriority w:val="99"/>
    <w:pPr>
      <w:spacing w:before="100" w:beforeAutospacing="1" w:after="100" w:afterAutospacing="1"/>
    </w:pPr>
    <w:rPr>
      <w:i/>
      <w:iCs/>
      <w:u w:val="single"/>
    </w:rPr>
  </w:style>
  <w:style w:type="paragraph" w:styleId="942" w:customStyle="1">
    <w:name w:val="xl68"/>
    <w:basedOn w:val="895"/>
    <w:uiPriority w:val="99"/>
    <w:pPr>
      <w:spacing w:before="100" w:beforeAutospacing="1" w:after="100" w:afterAutospacing="1"/>
      <w:pBdr>
        <w:top w:val="single" w:color="000000" w:sz="8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943" w:customStyle="1">
    <w:name w:val="xl69"/>
    <w:basedOn w:val="895"/>
    <w:uiPriority w:val="99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944" w:customStyle="1">
    <w:name w:val="xl70"/>
    <w:basedOn w:val="895"/>
    <w:uiPriority w:val="99"/>
    <w:pPr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945" w:customStyle="1">
    <w:name w:val="xl71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46" w:customStyle="1">
    <w:name w:val="xl72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47" w:customStyle="1">
    <w:name w:val="xl73"/>
    <w:basedOn w:val="895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48" w:customStyle="1">
    <w:name w:val="xl74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49" w:customStyle="1">
    <w:name w:val="xl75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0" w:customStyle="1">
    <w:name w:val="xl76"/>
    <w:basedOn w:val="895"/>
    <w:uiPriority w:val="99"/>
    <w:pPr>
      <w:spacing w:before="100" w:beforeAutospacing="1" w:after="100" w:afterAutospacing="1"/>
      <w:pBdr>
        <w:bottom w:val="single" w:color="000000" w:sz="4" w:space="0"/>
      </w:pBdr>
    </w:pPr>
  </w:style>
  <w:style w:type="paragraph" w:styleId="951" w:customStyle="1">
    <w:name w:val="xl77"/>
    <w:basedOn w:val="895"/>
    <w:uiPriority w:val="99"/>
    <w:pPr>
      <w:spacing w:before="100" w:beforeAutospacing="1" w:after="100" w:afterAutospacing="1"/>
      <w:pBdr>
        <w:bottom w:val="single" w:color="000000" w:sz="4" w:space="0"/>
      </w:pBdr>
    </w:pPr>
  </w:style>
  <w:style w:type="paragraph" w:styleId="952" w:customStyle="1">
    <w:name w:val="xl78"/>
    <w:basedOn w:val="895"/>
    <w:uiPriority w:val="99"/>
    <w:pPr>
      <w:spacing w:before="100" w:beforeAutospacing="1" w:after="100" w:afterAutospacing="1"/>
      <w:pBdr>
        <w:bottom w:val="single" w:color="000000" w:sz="4" w:space="0"/>
      </w:pBdr>
    </w:pPr>
  </w:style>
  <w:style w:type="paragraph" w:styleId="953" w:customStyle="1">
    <w:name w:val="xl79"/>
    <w:basedOn w:val="895"/>
    <w:uiPriority w:val="99"/>
    <w:pPr>
      <w:spacing w:before="100" w:beforeAutospacing="1" w:after="100" w:afterAutospacing="1"/>
      <w:pBdr>
        <w:bottom w:val="single" w:color="000000" w:sz="4" w:space="0"/>
      </w:pBdr>
    </w:pPr>
    <w:rPr>
      <w:color w:val="000000"/>
    </w:rPr>
  </w:style>
  <w:style w:type="paragraph" w:styleId="954" w:customStyle="1">
    <w:name w:val="xl80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55" w:customStyle="1">
    <w:name w:val="xl81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6" w:customStyle="1">
    <w:name w:val="xl82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7" w:customStyle="1">
    <w:name w:val="xl83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8" w:customStyle="1">
    <w:name w:val="xl84"/>
    <w:basedOn w:val="895"/>
    <w:uiPriority w:val="9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59" w:customStyle="1">
    <w:name w:val="xl85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0" w:customStyle="1">
    <w:name w:val="xl86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1" w:customStyle="1">
    <w:name w:val="xl87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2" w:customStyle="1">
    <w:name w:val="xl88"/>
    <w:basedOn w:val="895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3" w:customStyle="1">
    <w:name w:val="xl89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4" w:customStyle="1">
    <w:name w:val="xl90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5" w:customStyle="1">
    <w:name w:val="xl91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6" w:customStyle="1">
    <w:name w:val="xl92"/>
    <w:basedOn w:val="895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7" w:customStyle="1">
    <w:name w:val="xl93"/>
    <w:basedOn w:val="895"/>
    <w:uiPriority w:val="9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68" w:customStyle="1">
    <w:name w:val="xl94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</w:pBdr>
    </w:pPr>
    <w:rPr>
      <w:sz w:val="20"/>
      <w:szCs w:val="20"/>
    </w:rPr>
  </w:style>
  <w:style w:type="paragraph" w:styleId="969" w:customStyle="1">
    <w:name w:val="xl95"/>
    <w:basedOn w:val="895"/>
    <w:uiPriority w:val="9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70" w:customStyle="1">
    <w:name w:val="xl96"/>
    <w:basedOn w:val="895"/>
    <w:uiPriority w:val="99"/>
    <w:pPr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71" w:customStyle="1">
    <w:name w:val="xl97"/>
    <w:basedOn w:val="895"/>
    <w:uiPriority w:val="9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72" w:customStyle="1">
    <w:name w:val="xl98"/>
    <w:basedOn w:val="895"/>
    <w:uiPriority w:val="99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73" w:customStyle="1">
    <w:name w:val="xl99"/>
    <w:basedOn w:val="895"/>
    <w:uiPriority w:val="99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74" w:customStyle="1">
    <w:name w:val="xl100"/>
    <w:basedOn w:val="895"/>
    <w:uiPriority w:val="9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75" w:customStyle="1">
    <w:name w:val="xl101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976" w:customStyle="1">
    <w:name w:val="xl102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977" w:customStyle="1">
    <w:name w:val="xl103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978" w:customStyle="1">
    <w:name w:val="xl104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979" w:customStyle="1">
    <w:name w:val="xl105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980" w:customStyle="1">
    <w:name w:val="xl106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81" w:customStyle="1">
    <w:name w:val="xl107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82" w:customStyle="1">
    <w:name w:val="xl108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983" w:customStyle="1">
    <w:name w:val="xl109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84" w:customStyle="1">
    <w:name w:val="xl110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85" w:customStyle="1">
    <w:name w:val="xl111"/>
    <w:basedOn w:val="895"/>
    <w:uiPriority w:val="99"/>
    <w:pPr>
      <w:spacing w:before="100" w:beforeAutospacing="1" w:after="100" w:afterAutospacing="1"/>
      <w:shd w:val="clear" w:color="000000" w:fill="ffffff"/>
    </w:pPr>
  </w:style>
  <w:style w:type="paragraph" w:styleId="986" w:customStyle="1">
    <w:name w:val="xl112"/>
    <w:basedOn w:val="895"/>
    <w:uiPriority w:val="99"/>
    <w:pPr>
      <w:spacing w:before="100" w:beforeAutospacing="1" w:after="100" w:afterAutospacing="1"/>
      <w:shd w:val="clear" w:color="000000" w:fill="ffffff"/>
    </w:pPr>
  </w:style>
  <w:style w:type="paragraph" w:styleId="987" w:customStyle="1">
    <w:name w:val="xl113"/>
    <w:basedOn w:val="895"/>
    <w:uiPriority w:val="99"/>
    <w:pPr>
      <w:spacing w:before="100" w:beforeAutospacing="1" w:after="100" w:afterAutospacing="1"/>
      <w:shd w:val="clear" w:color="000000" w:fill="ffffff"/>
    </w:pPr>
    <w:rPr>
      <w:color w:val="000000"/>
    </w:rPr>
  </w:style>
  <w:style w:type="paragraph" w:styleId="988" w:customStyle="1">
    <w:name w:val="xl114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</w:style>
  <w:style w:type="paragraph" w:styleId="989" w:customStyle="1">
    <w:name w:val="xl115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90" w:customStyle="1">
    <w:name w:val="xl116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1" w:customStyle="1">
    <w:name w:val="xl117"/>
    <w:basedOn w:val="895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2" w:customStyle="1">
    <w:name w:val="xl118"/>
    <w:basedOn w:val="895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3" w:customStyle="1">
    <w:name w:val="xl119"/>
    <w:basedOn w:val="895"/>
    <w:uiPriority w:val="99"/>
    <w:pPr>
      <w:spacing w:before="100" w:beforeAutospacing="1" w:after="100" w:afterAutospacing="1"/>
      <w:shd w:val="clear" w:color="000000" w:fill="ffffff"/>
    </w:pPr>
  </w:style>
  <w:style w:type="paragraph" w:styleId="994" w:customStyle="1">
    <w:name w:val="xl120"/>
    <w:basedOn w:val="895"/>
    <w:uiPriority w:val="99"/>
    <w:pPr>
      <w:spacing w:before="100" w:beforeAutospacing="1" w:after="100" w:afterAutospacing="1"/>
      <w:shd w:val="clear" w:color="000000" w:fill="00b0f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5" w:customStyle="1">
    <w:name w:val="xl121"/>
    <w:basedOn w:val="895"/>
    <w:uiPriority w:val="99"/>
    <w:pPr>
      <w:jc w:val="center"/>
      <w:spacing w:before="100" w:beforeAutospacing="1" w:after="100" w:afterAutospacing="1"/>
      <w:shd w:val="clear" w:color="000000" w:fill="00b0f0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6" w:customStyle="1">
    <w:name w:val="xl122"/>
    <w:basedOn w:val="895"/>
    <w:uiPriority w:val="99"/>
    <w:pPr>
      <w:jc w:val="center"/>
      <w:spacing w:before="100" w:beforeAutospacing="1" w:after="100" w:afterAutospacing="1"/>
      <w:shd w:val="clear" w:color="000000" w:fill="00b0f0"/>
      <w:pBdr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7" w:customStyle="1">
    <w:name w:val="xl123"/>
    <w:basedOn w:val="895"/>
    <w:uiPriority w:val="99"/>
    <w:pPr>
      <w:spacing w:before="100" w:beforeAutospacing="1" w:after="100" w:afterAutospacing="1"/>
      <w:shd w:val="clear" w:color="000000" w:fill="00b0f0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8" w:customStyle="1">
    <w:name w:val="xl124"/>
    <w:basedOn w:val="895"/>
    <w:uiPriority w:val="99"/>
    <w:pPr>
      <w:spacing w:before="100" w:beforeAutospacing="1" w:after="100" w:afterAutospacing="1"/>
      <w:shd w:val="clear" w:color="000000" w:fill="f79646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999" w:customStyle="1">
    <w:name w:val="xl125"/>
    <w:basedOn w:val="895"/>
    <w:uiPriority w:val="99"/>
    <w:pPr>
      <w:spacing w:before="100" w:beforeAutospacing="1" w:after="100" w:afterAutospacing="1"/>
      <w:shd w:val="clear" w:color="000000" w:fill="e6b8b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00" w:customStyle="1">
    <w:name w:val="xl126"/>
    <w:basedOn w:val="895"/>
    <w:uiPriority w:val="99"/>
    <w:pPr>
      <w:jc w:val="center"/>
      <w:spacing w:before="100" w:beforeAutospacing="1" w:after="100" w:afterAutospacing="1"/>
      <w:shd w:val="clear" w:color="000000" w:fill="e6b8b7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01" w:customStyle="1">
    <w:name w:val="xl127"/>
    <w:basedOn w:val="895"/>
    <w:uiPriority w:val="99"/>
    <w:pPr>
      <w:jc w:val="center"/>
      <w:spacing w:before="100" w:beforeAutospacing="1" w:after="100" w:afterAutospacing="1"/>
      <w:shd w:val="clear" w:color="000000" w:fill="e6b8b7"/>
      <w:pBdr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02" w:customStyle="1">
    <w:name w:val="xl128"/>
    <w:basedOn w:val="895"/>
    <w:uiPriority w:val="99"/>
    <w:pPr>
      <w:spacing w:before="100" w:beforeAutospacing="1" w:after="100" w:afterAutospacing="1"/>
      <w:shd w:val="clear" w:color="000000" w:fill="e6b8b7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03" w:customStyle="1">
    <w:name w:val="xl129"/>
    <w:basedOn w:val="895"/>
    <w:uiPriority w:val="99"/>
    <w:pPr>
      <w:spacing w:before="100" w:beforeAutospacing="1" w:after="100" w:afterAutospacing="1"/>
      <w:shd w:val="clear" w:color="000000" w:fill="e6b8b7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04" w:customStyle="1">
    <w:name w:val="xl130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05" w:customStyle="1">
    <w:name w:val="xl131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006" w:customStyle="1">
    <w:name w:val="xl132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1007" w:customStyle="1">
    <w:name w:val="xl133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08" w:customStyle="1">
    <w:name w:val="xl134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09" w:customStyle="1">
    <w:name w:val="xl135"/>
    <w:basedOn w:val="895"/>
    <w:uiPriority w:val="99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1010" w:customStyle="1">
    <w:name w:val="xl136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0"/>
      <w:szCs w:val="20"/>
    </w:rPr>
  </w:style>
  <w:style w:type="paragraph" w:styleId="1011" w:customStyle="1">
    <w:name w:val="xl137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012" w:customStyle="1">
    <w:name w:val="xl138"/>
    <w:basedOn w:val="895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13" w:customStyle="1">
    <w:name w:val="xl139"/>
    <w:basedOn w:val="895"/>
    <w:uiPriority w:val="9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14" w:customStyle="1">
    <w:name w:val="xl140"/>
    <w:basedOn w:val="895"/>
    <w:uiPriority w:val="99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15" w:customStyle="1">
    <w:name w:val="xl141"/>
    <w:basedOn w:val="895"/>
    <w:uiPriority w:val="99"/>
    <w:pPr>
      <w:spacing w:before="100" w:beforeAutospacing="1" w:after="100" w:afterAutospacing="1"/>
      <w:pBdr>
        <w:bottom w:val="single" w:color="000000" w:sz="4" w:space="0"/>
      </w:pBdr>
    </w:pPr>
    <w:rPr>
      <w:b/>
      <w:bCs/>
      <w:sz w:val="28"/>
      <w:szCs w:val="28"/>
    </w:rPr>
  </w:style>
  <w:style w:type="paragraph" w:styleId="1016" w:customStyle="1">
    <w:name w:val="xl142"/>
    <w:basedOn w:val="895"/>
    <w:uiPriority w:val="99"/>
    <w:pPr>
      <w:spacing w:before="100" w:beforeAutospacing="1" w:after="100" w:afterAutospacing="1"/>
      <w:shd w:val="clear" w:color="000000" w:fill="ffffff"/>
    </w:pPr>
    <w:rPr>
      <w:sz w:val="20"/>
      <w:szCs w:val="20"/>
    </w:rPr>
  </w:style>
  <w:style w:type="paragraph" w:styleId="1017" w:customStyle="1">
    <w:name w:val="xl143"/>
    <w:basedOn w:val="895"/>
    <w:uiPriority w:val="99"/>
    <w:pPr>
      <w:spacing w:before="100" w:beforeAutospacing="1" w:after="100" w:afterAutospacing="1"/>
      <w:shd w:val="clear" w:color="000000" w:fill="ffffff"/>
    </w:pPr>
    <w:rPr>
      <w:color w:val="000000"/>
      <w:sz w:val="20"/>
      <w:szCs w:val="20"/>
    </w:rPr>
  </w:style>
  <w:style w:type="paragraph" w:styleId="1018" w:customStyle="1">
    <w:name w:val="xl144"/>
    <w:basedOn w:val="895"/>
    <w:uiPriority w:val="99"/>
    <w:pPr>
      <w:spacing w:before="100" w:beforeAutospacing="1" w:after="100" w:afterAutospacing="1"/>
      <w:shd w:val="clear" w:color="000000" w:fill="ffffff"/>
    </w:pPr>
    <w:rPr>
      <w:sz w:val="20"/>
      <w:szCs w:val="20"/>
    </w:rPr>
  </w:style>
  <w:style w:type="paragraph" w:styleId="1019" w:customStyle="1">
    <w:name w:val="xl145"/>
    <w:basedOn w:val="895"/>
    <w:uiPriority w:val="99"/>
    <w:pPr>
      <w:spacing w:before="100" w:beforeAutospacing="1" w:after="100" w:afterAutospacing="1"/>
      <w:shd w:val="clear" w:color="000000" w:fill="ffffff"/>
    </w:pPr>
    <w:rPr>
      <w:color w:val="000000"/>
    </w:rPr>
  </w:style>
  <w:style w:type="paragraph" w:styleId="1020" w:customStyle="1">
    <w:name w:val="xl146"/>
    <w:basedOn w:val="895"/>
    <w:uiPriority w:val="99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1021" w:customStyle="1">
    <w:name w:val="xl147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1022" w:customStyle="1">
    <w:name w:val="xl148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0"/>
      <w:szCs w:val="20"/>
    </w:rPr>
  </w:style>
  <w:style w:type="paragraph" w:styleId="1023" w:customStyle="1">
    <w:name w:val="xl149"/>
    <w:basedOn w:val="895"/>
    <w:uiPriority w:val="9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24" w:customStyle="1">
    <w:name w:val="xl150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25" w:customStyle="1">
    <w:name w:val="xl151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26" w:customStyle="1">
    <w:name w:val="xl152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0"/>
      <w:szCs w:val="20"/>
    </w:rPr>
  </w:style>
  <w:style w:type="paragraph" w:styleId="1027" w:customStyle="1">
    <w:name w:val="xl153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1028" w:customStyle="1">
    <w:name w:val="xl154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1029" w:customStyle="1">
    <w:name w:val="xl155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1030" w:customStyle="1">
    <w:name w:val="xl156"/>
    <w:basedOn w:val="895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1031" w:customStyle="1">
    <w:name w:val="xl157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i/>
      <w:iCs/>
      <w:sz w:val="20"/>
      <w:szCs w:val="20"/>
    </w:rPr>
  </w:style>
  <w:style w:type="paragraph" w:styleId="1032" w:customStyle="1">
    <w:name w:val="xl158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  <w:color w:val="000000"/>
      <w:sz w:val="20"/>
      <w:szCs w:val="20"/>
    </w:rPr>
  </w:style>
  <w:style w:type="paragraph" w:styleId="1033" w:customStyle="1">
    <w:name w:val="xl159"/>
    <w:basedOn w:val="895"/>
    <w:uiPriority w:val="99"/>
    <w:pPr>
      <w:spacing w:before="100" w:beforeAutospacing="1" w:after="100" w:afterAutospacing="1"/>
      <w:shd w:val="clear" w:color="000000" w:fill="ffffff"/>
      <w:pBdr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34" w:customStyle="1">
    <w:name w:val="xl160"/>
    <w:basedOn w:val="895"/>
    <w:uiPriority w:val="9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35" w:customStyle="1">
    <w:name w:val="xl161"/>
    <w:basedOn w:val="895"/>
    <w:uiPriority w:val="99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1036" w:customStyle="1">
    <w:name w:val="xl162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37" w:customStyle="1">
    <w:name w:val="xl163"/>
    <w:basedOn w:val="895"/>
    <w:uiPriority w:val="99"/>
    <w:pPr>
      <w:spacing w:before="100" w:beforeAutospacing="1" w:after="100" w:afterAutospacing="1"/>
      <w:shd w:val="clear" w:color="000000" w:fill="ffc0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38" w:customStyle="1">
    <w:name w:val="xl164"/>
    <w:basedOn w:val="895"/>
    <w:uiPriority w:val="99"/>
    <w:pPr>
      <w:spacing w:before="100" w:beforeAutospacing="1" w:after="100" w:afterAutospacing="1"/>
      <w:shd w:val="clear" w:color="000000" w:fill="92d05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1039" w:customStyle="1">
    <w:name w:val="xl165"/>
    <w:basedOn w:val="895"/>
    <w:uiPriority w:val="99"/>
    <w:pPr>
      <w:spacing w:before="100" w:beforeAutospacing="1" w:after="100" w:afterAutospacing="1"/>
      <w:shd w:val="clear" w:color="000000" w:fill="92d05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40" w:customStyle="1">
    <w:name w:val="xl166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41" w:customStyle="1">
    <w:name w:val="xl167"/>
    <w:basedOn w:val="895"/>
    <w:uiPriority w:val="99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42" w:customStyle="1">
    <w:name w:val="xl168"/>
    <w:basedOn w:val="895"/>
    <w:uiPriority w:val="99"/>
    <w:pPr>
      <w:jc w:val="center"/>
      <w:spacing w:before="100" w:beforeAutospacing="1" w:after="100" w:afterAutospacing="1"/>
      <w:pBdr>
        <w:right w:val="single" w:color="000000" w:sz="4" w:space="0"/>
      </w:pBdr>
    </w:pPr>
    <w:rPr>
      <w:sz w:val="20"/>
      <w:szCs w:val="20"/>
    </w:rPr>
  </w:style>
  <w:style w:type="paragraph" w:styleId="1043" w:customStyle="1">
    <w:name w:val="xl169"/>
    <w:basedOn w:val="895"/>
    <w:uiPriority w:val="99"/>
    <w:pPr>
      <w:spacing w:before="100" w:beforeAutospacing="1" w:after="100" w:afterAutospacing="1"/>
      <w:pBdr>
        <w:left w:val="single" w:color="000000" w:sz="4" w:space="0"/>
      </w:pBdr>
    </w:pPr>
    <w:rPr>
      <w:sz w:val="20"/>
      <w:szCs w:val="20"/>
    </w:rPr>
  </w:style>
  <w:style w:type="paragraph" w:styleId="1044" w:customStyle="1">
    <w:name w:val="xl170"/>
    <w:basedOn w:val="895"/>
    <w:uiPriority w:val="99"/>
    <w:pPr>
      <w:spacing w:before="100" w:beforeAutospacing="1" w:after="100" w:afterAutospacing="1"/>
      <w:shd w:val="clear" w:color="000000" w:fill="e6b8b7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0"/>
      <w:szCs w:val="20"/>
    </w:rPr>
  </w:style>
  <w:style w:type="paragraph" w:styleId="1045" w:customStyle="1">
    <w:name w:val="xl171"/>
    <w:basedOn w:val="895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46" w:customStyle="1">
    <w:name w:val="xl172"/>
    <w:basedOn w:val="895"/>
    <w:uiPriority w:val="99"/>
    <w:pPr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47" w:customStyle="1">
    <w:name w:val="xl173"/>
    <w:basedOn w:val="895"/>
    <w:uiPriority w:val="99"/>
    <w:pPr>
      <w:spacing w:before="100" w:beforeAutospacing="1" w:after="100" w:afterAutospacing="1"/>
    </w:pPr>
  </w:style>
  <w:style w:type="paragraph" w:styleId="1048" w:customStyle="1">
    <w:name w:val="xl174"/>
    <w:basedOn w:val="895"/>
    <w:uiPriority w:val="99"/>
    <w:pPr>
      <w:spacing w:before="100" w:beforeAutospacing="1" w:after="100" w:afterAutospacing="1"/>
    </w:pPr>
    <w:rPr>
      <w:color w:val="000000"/>
    </w:rPr>
  </w:style>
  <w:style w:type="paragraph" w:styleId="1049" w:customStyle="1">
    <w:name w:val="xl175"/>
    <w:basedOn w:val="895"/>
    <w:uiPriority w:val="99"/>
    <w:pPr>
      <w:spacing w:before="100" w:beforeAutospacing="1" w:after="100" w:afterAutospacing="1"/>
      <w:shd w:val="clear" w:color="000000" w:fill="00b0f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50" w:customStyle="1">
    <w:name w:val="xl176"/>
    <w:basedOn w:val="895"/>
    <w:uiPriority w:val="99"/>
    <w:pPr>
      <w:spacing w:before="100" w:beforeAutospacing="1" w:after="100" w:afterAutospacing="1"/>
      <w:shd w:val="clear" w:color="000000" w:fill="00b0f0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51" w:customStyle="1">
    <w:name w:val="xl177"/>
    <w:basedOn w:val="895"/>
    <w:uiPriority w:val="9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52" w:customStyle="1">
    <w:name w:val="xl178"/>
    <w:basedOn w:val="895"/>
    <w:uiPriority w:val="99"/>
    <w:pPr>
      <w:spacing w:before="100" w:beforeAutospacing="1" w:after="100" w:afterAutospacing="1"/>
      <w:shd w:val="clear" w:color="000000" w:fill="ffff00"/>
      <w:pBdr>
        <w:bottom w:val="single" w:color="000000" w:sz="4" w:space="0"/>
      </w:pBdr>
    </w:pPr>
    <w:rPr>
      <w:b/>
      <w:bCs/>
    </w:rPr>
  </w:style>
  <w:style w:type="paragraph" w:styleId="1053" w:customStyle="1">
    <w:name w:val="xl179"/>
    <w:basedOn w:val="895"/>
    <w:uiPriority w:val="99"/>
    <w:pPr>
      <w:spacing w:before="100" w:beforeAutospacing="1" w:after="100" w:afterAutospacing="1"/>
      <w:shd w:val="clear" w:color="000000" w:fill="ffff00"/>
      <w:pBdr>
        <w:bottom w:val="single" w:color="000000" w:sz="4" w:space="0"/>
      </w:pBdr>
    </w:pPr>
    <w:rPr>
      <w:b/>
      <w:bCs/>
      <w:i/>
      <w:iCs/>
    </w:rPr>
  </w:style>
  <w:style w:type="paragraph" w:styleId="1054" w:customStyle="1">
    <w:name w:val="xl180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bottom w:val="single" w:color="000000" w:sz="4" w:space="0"/>
      </w:pBdr>
    </w:pPr>
    <w:rPr>
      <w:b/>
      <w:bCs/>
    </w:rPr>
  </w:style>
  <w:style w:type="paragraph" w:styleId="1055" w:customStyle="1">
    <w:name w:val="xl181"/>
    <w:basedOn w:val="895"/>
    <w:uiPriority w:val="99"/>
    <w:pPr>
      <w:spacing w:before="100" w:beforeAutospacing="1" w:after="100" w:afterAutospacing="1"/>
      <w:shd w:val="clear" w:color="000000" w:fill="ffff00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056" w:customStyle="1">
    <w:name w:val="xl182"/>
    <w:basedOn w:val="895"/>
    <w:uiPriority w:val="99"/>
    <w:pPr>
      <w:spacing w:before="100" w:beforeAutospacing="1" w:after="100" w:afterAutospacing="1"/>
      <w:shd w:val="clear" w:color="000000" w:fill="ffff00"/>
      <w:pBdr>
        <w:bottom w:val="single" w:color="000000" w:sz="8" w:space="0"/>
      </w:pBdr>
    </w:pPr>
    <w:rPr>
      <w:b/>
      <w:bCs/>
    </w:rPr>
  </w:style>
  <w:style w:type="paragraph" w:styleId="1057" w:customStyle="1">
    <w:name w:val="xl183"/>
    <w:basedOn w:val="895"/>
    <w:uiPriority w:val="99"/>
    <w:pPr>
      <w:spacing w:before="100" w:beforeAutospacing="1" w:after="100" w:afterAutospacing="1"/>
      <w:pBdr>
        <w:bottom w:val="single" w:color="000000" w:sz="8" w:space="0"/>
      </w:pBdr>
    </w:pPr>
    <w:rPr>
      <w:b/>
      <w:bCs/>
      <w:sz w:val="28"/>
      <w:szCs w:val="28"/>
    </w:rPr>
  </w:style>
  <w:style w:type="paragraph" w:styleId="1058" w:customStyle="1">
    <w:name w:val="xl184"/>
    <w:basedOn w:val="895"/>
    <w:uiPriority w:val="99"/>
    <w:pPr>
      <w:spacing w:before="100" w:beforeAutospacing="1" w:after="100" w:afterAutospacing="1"/>
      <w:shd w:val="clear" w:color="000000" w:fill="d9d9d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59" w:customStyle="1">
    <w:name w:val="xl185"/>
    <w:basedOn w:val="895"/>
    <w:uiPriority w:val="99"/>
    <w:pPr>
      <w:spacing w:before="100" w:beforeAutospacing="1" w:after="100" w:afterAutospacing="1"/>
      <w:shd w:val="clear" w:color="000000" w:fill="d9d9d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60" w:customStyle="1">
    <w:name w:val="xl186"/>
    <w:basedOn w:val="895"/>
    <w:uiPriority w:val="99"/>
    <w:pPr>
      <w:spacing w:before="100" w:beforeAutospacing="1" w:after="100" w:afterAutospacing="1"/>
      <w:shd w:val="clear" w:color="000000" w:fill="d9d9d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61" w:customStyle="1">
    <w:name w:val="xl187"/>
    <w:basedOn w:val="895"/>
    <w:uiPriority w:val="99"/>
    <w:pPr>
      <w:spacing w:before="100" w:beforeAutospacing="1" w:after="100" w:afterAutospacing="1"/>
    </w:pPr>
    <w:rPr>
      <w:color w:val="000000"/>
    </w:rPr>
  </w:style>
  <w:style w:type="paragraph" w:styleId="1062" w:customStyle="1">
    <w:name w:val="font0"/>
    <w:basedOn w:val="895"/>
    <w:uiPriority w:val="99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styleId="1063" w:customStyle="1">
    <w:name w:val="xl65"/>
    <w:basedOn w:val="895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64" w:customStyle="1">
    <w:name w:val="Основной текст1"/>
    <w:basedOn w:val="895"/>
    <w:uiPriority w:val="99"/>
    <w:rPr>
      <w:sz w:val="28"/>
      <w:szCs w:val="28"/>
    </w:rPr>
  </w:style>
  <w:style w:type="character" w:styleId="1065" w:customStyle="1">
    <w:name w:val="Strong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://www.irkfi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http://sberbank-ast.ru" TargetMode="External"/><Relationship Id="rId15" Type="http://schemas.openxmlformats.org/officeDocument/2006/relationships/hyperlink" Target="http://sberbank-ast.ru" TargetMode="External"/><Relationship Id="rId16" Type="http://schemas.openxmlformats.org/officeDocument/2006/relationships/hyperlink" Target="http://sberbank-ast.ru" TargetMode="External"/><Relationship Id="rId17" Type="http://schemas.openxmlformats.org/officeDocument/2006/relationships/hyperlink" Target="consultantplus://offline/ref=ACBC04675D45A7319E4896355D993A4826746042F3CB2CBB1E8429029F34B456AD46430754CDA9B6A2FD79FD81QEfF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www.mio.irkobl.ru" TargetMode="External"/><Relationship Id="rId20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Sejg lksdjflgj klsdjfglkj sdflgsd</dc:title>
  <dc:creator>k_umanskay</dc:creator>
  <cp:lastModifiedBy>manueva</cp:lastModifiedBy>
  <cp:revision>56</cp:revision>
  <dcterms:created xsi:type="dcterms:W3CDTF">2023-01-13T09:16:00Z</dcterms:created>
  <dcterms:modified xsi:type="dcterms:W3CDTF">2026-09-09T05:01:12Z</dcterms:modified>
</cp:coreProperties>
</file>