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before="60" w:after="100" w:line="240" w:lineRule="auto"/>
        <w:widowControl w:val="off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r>
        <w:rPr>
          <w:rFonts w:ascii="Times New Roman" w:hAnsi="Times New Roman" w:cs="Times New Roman"/>
          <w:sz w:val="28"/>
          <w:szCs w:val="28"/>
        </w:rPr>
        <w:t xml:space="preserve">№33/2</w:t>
      </w:r>
      <w:r>
        <w:rPr>
          <w:rFonts w:ascii="Times New Roman" w:hAnsi="Times New Roman" w:cs="Times New Roman"/>
          <w:sz w:val="28"/>
          <w:szCs w:val="28"/>
        </w:rPr>
        <w:t xml:space="preserve">-АЗ/26</w:t>
      </w:r>
      <w:r>
        <w:rPr>
          <w:rFonts w:ascii="Times New Roman" w:hAnsi="Times New Roman" w:cs="Times New Roman"/>
          <w:sz w:val="32"/>
          <w:szCs w:val="32"/>
        </w:rPr>
      </w:r>
      <w:r>
        <w:rPr>
          <w:rFonts w:ascii="Times New Roman" w:hAnsi="Times New Roman" w:cs="Times New Roman"/>
          <w:sz w:val="32"/>
          <w:szCs w:val="32"/>
        </w:rPr>
      </w:r>
    </w:p>
    <w:p>
      <w:pPr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№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2200014719000000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0288</w:t>
      </w:r>
      <w:r>
        <w:rPr>
          <w:rFonts w:ascii="Times New Roman" w:hAnsi="Times New Roman" w:cs="Times New Roman"/>
          <w:b/>
          <w:bCs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г. Иркутск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21.04</w:t>
      </w:r>
      <w:r>
        <w:rPr>
          <w:rFonts w:ascii="Times New Roman" w:hAnsi="Times New Roman" w:cs="Times New Roman"/>
          <w:sz w:val="26"/>
          <w:szCs w:val="26"/>
        </w:rPr>
        <w:t xml:space="preserve">.2026 </w:t>
      </w:r>
      <w:r>
        <w:rPr>
          <w:rFonts w:ascii="Times New Roman" w:hAnsi="Times New Roman" w:cs="Times New Roman"/>
          <w:sz w:val="26"/>
          <w:szCs w:val="26"/>
        </w:rPr>
        <w:t xml:space="preserve">г.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20"/>
        <w:jc w:val="both"/>
        <w:spacing w:after="0" w:line="240" w:lineRule="auto"/>
        <w:widowControl w:val="off"/>
        <w:rPr>
          <w:rFonts w:ascii="Times New Roman" w:hAnsi="Times New Roman" w:cs="Times New Roman"/>
          <w:sz w:val="18"/>
          <w:szCs w:val="26"/>
        </w:rPr>
      </w:pP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  <w:r>
        <w:rPr>
          <w:rFonts w:ascii="Times New Roman" w:hAnsi="Times New Roman" w:cs="Times New Roman"/>
          <w:sz w:val="18"/>
          <w:szCs w:val="26"/>
        </w:rPr>
      </w:r>
    </w:p>
    <w:p>
      <w:pPr>
        <w:ind w:left="0" w:right="0" w:firstLine="567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Аукционная комиссия областного государственного казенного учреждения “Фонд имущества Иркутской области” 21 апреля</w:t>
      </w:r>
      <w:r>
        <w:rPr>
          <w:rFonts w:ascii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провела процедуру рассмотрения заявок</w:t>
      </w:r>
      <w:r>
        <w:rPr>
          <w:rFonts w:ascii="Times New Roman" w:hAnsi="Times New Roman" w:cs="Times New Roman"/>
          <w:sz w:val="26"/>
          <w:szCs w:val="26"/>
        </w:rPr>
        <w:t xml:space="preserve"> на участие в аукционе </w:t>
      </w:r>
      <w:r>
        <w:rPr>
          <w:rFonts w:ascii="Times New Roman" w:hAnsi="Times New Roman" w:cs="Times New Roman"/>
          <w:sz w:val="26"/>
          <w:szCs w:val="26"/>
        </w:rPr>
        <w:t xml:space="preserve">по адресу: г. Иркутск, ул. Партизанская, д.1,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оф.</w:t>
      </w:r>
      <w:r>
        <w:rPr>
          <w:rFonts w:ascii="Times New Roman" w:hAnsi="Times New Roman" w:cs="Times New Roman"/>
          <w:sz w:val="26"/>
          <w:szCs w:val="26"/>
        </w:rPr>
        <w:t xml:space="preserve"> 49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right="0" w:firstLine="510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>
        <w:rPr>
          <w:rFonts w:ascii="Times New Roman" w:hAnsi="Times New Roman" w:cs="Times New Roman"/>
          <w:sz w:val="26"/>
          <w:szCs w:val="26"/>
        </w:rPr>
        <w:t xml:space="preserve">электрон</w:t>
      </w:r>
      <w:r>
        <w:rPr>
          <w:rFonts w:ascii="Times New Roman" w:hAnsi="Times New Roman" w:cs="Times New Roman"/>
          <w:sz w:val="26"/>
          <w:szCs w:val="26"/>
        </w:rPr>
        <w:t xml:space="preserve">н</w:t>
      </w:r>
      <w:r>
        <w:rPr>
          <w:rFonts w:ascii="Times New Roman" w:hAnsi="Times New Roman" w:cs="Times New Roman"/>
          <w:sz w:val="26"/>
          <w:szCs w:val="26"/>
        </w:rPr>
        <w:t xml:space="preserve">ом </w:t>
      </w:r>
      <w:r>
        <w:rPr>
          <w:rFonts w:ascii="Times New Roman" w:hAnsi="Times New Roman" w:cs="Times New Roman"/>
          <w:sz w:val="26"/>
          <w:szCs w:val="26"/>
        </w:rPr>
        <w:t xml:space="preserve">аукционе проводилось комиссией, в следующем составе: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Председатель комиссии – Обухов Алексей Геннадьевич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Заместитель председателя комиссии – Черепанова Светлана Владимировна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 комиссии – Ермак Виктор Акимович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1"/>
        <w:numPr>
          <w:ilvl w:val="0"/>
          <w:numId w:val="13"/>
        </w:num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  <w:t xml:space="preserve">Секретарь комиссии – Мануева Арюна Юрьевна 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57" w:firstLine="714"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Все</w:t>
      </w:r>
      <w:r>
        <w:rPr>
          <w:rFonts w:ascii="Times New Roman" w:hAnsi="Times New Roman" w:cs="Times New Roman"/>
          <w:sz w:val="26"/>
          <w:szCs w:val="26"/>
        </w:rPr>
        <w:t xml:space="preserve">го на заседании присутствовало 4</w:t>
      </w:r>
      <w:r>
        <w:rPr>
          <w:rFonts w:ascii="Times New Roman" w:hAnsi="Times New Roman" w:cs="Times New Roman"/>
          <w:sz w:val="26"/>
          <w:szCs w:val="26"/>
        </w:rPr>
        <w:t xml:space="preserve"> член</w:t>
      </w:r>
      <w:r>
        <w:rPr>
          <w:rFonts w:ascii="Times New Roman" w:hAnsi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sz w:val="26"/>
          <w:szCs w:val="26"/>
        </w:rPr>
        <w:t xml:space="preserve"> комиссии, что составило 67</w:t>
      </w:r>
      <w:r>
        <w:rPr>
          <w:rFonts w:ascii="Times New Roman" w:hAnsi="Times New Roman" w:cs="Times New Roman"/>
          <w:sz w:val="26"/>
          <w:szCs w:val="26"/>
        </w:rPr>
        <w:t xml:space="preserve"> % от общего количества членов комиссии. Кворум имеется, заседание правомочно.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firstLine="714"/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ind w:left="0" w:right="0" w:firstLine="567"/>
        <w:jc w:val="both"/>
        <w:spacing w:after="0" w:line="240" w:lineRule="auto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>
        <w:rPr>
          <w:rFonts w:ascii="Times New Roman" w:hAnsi="Times New Roman" w:cs="Times New Roman"/>
          <w:sz w:val="26"/>
          <w:szCs w:val="26"/>
        </w:rPr>
        <w:t xml:space="preserve">аукциона было размещено</w:t>
      </w:r>
      <w:r>
        <w:rPr>
          <w:rFonts w:ascii="Times New Roman" w:hAnsi="Times New Roman" w:cs="Times New Roman"/>
          <w:sz w:val="26"/>
          <w:szCs w:val="26"/>
        </w:rPr>
        <w:t xml:space="preserve"> 18.03.2026</w:t>
      </w:r>
      <w:r>
        <w:rPr>
          <w:rFonts w:ascii="Times New Roman" w:hAnsi="Times New Roman" w:cs="Times New Roman"/>
          <w:sz w:val="26"/>
          <w:szCs w:val="26"/>
        </w:rPr>
        <w:t xml:space="preserve"> г. №</w:t>
      </w:r>
      <w:r>
        <w:rPr>
          <w:rFonts w:ascii="Times New Roman" w:hAnsi="Times New Roman" w:cs="Times New Roman"/>
          <w:sz w:val="26"/>
          <w:szCs w:val="26"/>
        </w:rPr>
        <w:t xml:space="preserve">2</w:t>
      </w:r>
      <w:r>
        <w:rPr>
          <w:rFonts w:ascii="Times New Roman" w:hAnsi="Times New Roman" w:cs="Times New Roman"/>
          <w:sz w:val="26"/>
          <w:szCs w:val="26"/>
        </w:rPr>
        <w:t xml:space="preserve">20001471900000</w:t>
      </w:r>
      <w:r>
        <w:rPr>
          <w:rFonts w:ascii="Times New Roman" w:hAnsi="Times New Roman" w:cs="Times New Roman"/>
          <w:sz w:val="26"/>
          <w:szCs w:val="26"/>
        </w:rPr>
        <w:t xml:space="preserve">00</w:t>
      </w:r>
      <w:r>
        <w:rPr>
          <w:rFonts w:ascii="Times New Roman" w:hAnsi="Times New Roman" w:cs="Times New Roman"/>
          <w:sz w:val="26"/>
          <w:szCs w:val="26"/>
        </w:rPr>
        <w:t xml:space="preserve">288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10" w:tooltip="http://www.torgi.gov.ru" w:history="1"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www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torgi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gov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color w:val="auto"/>
            <w:sz w:val="26"/>
            <w:szCs w:val="26"/>
            <w:lang w:val="en-US"/>
          </w:rPr>
          <w:t xml:space="preserve">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в </w:t>
      </w:r>
      <w:r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>
        <w:rPr>
          <w:rFonts w:ascii="Times New Roman" w:hAnsi="Times New Roman" w:cs="Times New Roman"/>
          <w:sz w:val="26"/>
          <w:szCs w:val="26"/>
        </w:rPr>
        <w:t xml:space="preserve">официальном сайте</w:t>
      </w:r>
      <w:r>
        <w:rPr>
          <w:rFonts w:ascii="Times New Roman" w:hAnsi="Times New Roman" w:cs="Times New Roman"/>
          <w:sz w:val="26"/>
          <w:szCs w:val="26"/>
        </w:rPr>
        <w:t xml:space="preserve"> торговой</w:t>
      </w:r>
      <w:r>
        <w:rPr>
          <w:rFonts w:ascii="Times New Roman" w:hAnsi="Times New Roman" w:cs="Times New Roman"/>
          <w:sz w:val="26"/>
          <w:szCs w:val="26"/>
        </w:rPr>
        <w:t xml:space="preserve"> площадки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.s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-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  <w:u w:val="single"/>
          <w:lang w:val="en-US"/>
        </w:rPr>
        <w:t xml:space="preserve">ru</w:t>
      </w:r>
      <w:r>
        <w:rPr>
          <w:rStyle w:val="868"/>
          <w:rFonts w:ascii="Times New Roman" w:hAnsi="Times New Roman" w:cs="Times New Roman"/>
          <w:color w:val="auto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(</w:t>
      </w:r>
      <w:r>
        <w:rPr>
          <w:rFonts w:ascii="Times New Roman" w:hAnsi="Times New Roman" w:cs="Times New Roman"/>
          <w:sz w:val="26"/>
          <w:szCs w:val="26"/>
        </w:rPr>
        <w:t xml:space="preserve">АО «Сбербанк-АСТ»</w:t>
      </w:r>
      <w:r>
        <w:rPr>
          <w:rFonts w:ascii="Times New Roman" w:hAnsi="Times New Roman" w:cs="Times New Roman"/>
          <w:sz w:val="26"/>
          <w:szCs w:val="26"/>
        </w:rPr>
        <w:t xml:space="preserve">)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сайте </w:t>
      </w:r>
      <w:r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r>
        <w:rPr>
          <w:rFonts w:ascii="Times New Roman" w:hAnsi="Times New Roman" w:cs="Times New Roman"/>
          <w:bCs/>
          <w:sz w:val="26"/>
          <w:szCs w:val="26"/>
        </w:rPr>
        <w:t xml:space="preserve">ru</w:t>
      </w:r>
      <w:r>
        <w:rPr>
          <w:rStyle w:val="868"/>
          <w:rFonts w:ascii="Times New Roman" w:hAnsi="Times New Roman" w:cs="Times New Roman"/>
          <w:color w:val="auto"/>
          <w:sz w:val="26"/>
          <w:szCs w:val="26"/>
        </w:rPr>
        <w:t xml:space="preserve">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4"/>
        <w:ind w:left="0" w:right="0"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eastAsia="Times New Roman" w:cs="Times New Roman"/>
          <w:sz w:val="26"/>
          <w:szCs w:val="26"/>
        </w:rPr>
        <w:t xml:space="preserve">4.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Предмет аукциона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право заключения договор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аренды земельн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ого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участк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а</w:t>
      </w:r>
      <w:r>
        <w:rPr>
          <w:rFonts w:ascii="Times New Roman" w:hAnsi="Times New Roman" w:cs="Times New Roman"/>
          <w:b/>
          <w:sz w:val="26"/>
          <w:szCs w:val="26"/>
        </w:rPr>
      </w:r>
      <w:r>
        <w:rPr>
          <w:rFonts w:ascii="Times New Roman" w:hAnsi="Times New Roman" w:cs="Times New Roman"/>
          <w:b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b/>
          <w:sz w:val="26"/>
          <w:szCs w:val="26"/>
        </w:rPr>
        <w:t xml:space="preserve">Характеристика земельного участка: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</w:rPr>
        <w:t xml:space="preserve">земельный участок из земель населённых пунктов площадью 2 247 кв.м с кадастровым номером 38:06:090202:974, адрес: Российская Федерация, Иркутская область, муниципальный район Иркутский, сельское поселение Ширяевское, д. Лыловщина.</w:t>
      </w:r>
      <w:r>
        <w:rPr>
          <w:rFonts w:ascii="Times New Roman" w:hAnsi="Times New Roman" w:eastAsia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Право на земельный участок: </w:t>
      </w:r>
      <w:r>
        <w:rPr>
          <w:rFonts w:ascii="Times New Roman" w:hAnsi="Times New Roman" w:cs="Times New Roman"/>
          <w:bCs/>
          <w:sz w:val="26"/>
          <w:szCs w:val="26"/>
        </w:rPr>
        <w:t xml:space="preserve">государственная собственность (право собственности не разграничено).</w:t>
      </w:r>
      <w:r>
        <w:rPr>
          <w:rFonts w:ascii="Times New Roman" w:hAnsi="Times New Roman" w:cs="Times New Roman"/>
          <w:bCs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ab/>
        <w:t xml:space="preserve">Категория земель: </w:t>
      </w:r>
      <w:r>
        <w:rPr>
          <w:rFonts w:ascii="Times New Roman" w:hAnsi="Times New Roman" w:cs="Times New Roman"/>
          <w:bCs/>
          <w:iCs/>
          <w:sz w:val="26"/>
          <w:szCs w:val="26"/>
        </w:rPr>
        <w:t xml:space="preserve">земли населённых пунктов.</w:t>
      </w:r>
      <w:r>
        <w:rPr>
          <w:rFonts w:ascii="Times New Roman" w:hAnsi="Times New Roman" w:cs="Times New Roman"/>
          <w:bCs/>
          <w:iCs/>
          <w:sz w:val="26"/>
          <w:szCs w:val="26"/>
        </w:rPr>
      </w:r>
      <w:r>
        <w:rPr>
          <w:rFonts w:ascii="Times New Roman" w:hAnsi="Times New Roman" w:cs="Times New Roman"/>
          <w:bCs/>
          <w:iCs/>
          <w:sz w:val="26"/>
          <w:szCs w:val="26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Основные виды разрешенного использования: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  <w:t xml:space="preserve">для ведения личного подсобного хозяйства.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b w:val="0"/>
          <w:bCs w:val="0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Максимально и минимально допустимые параметры разрешенного строительства: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в соответствии с правилами землепользования и застройки Ширяевского муниципального образования земельный участок расположен </w:t>
      </w:r>
      <w:r>
        <w:rPr>
          <w:rFonts w:ascii="Times New Roman" w:hAnsi="Times New Roman" w:cs="Times New Roman"/>
          <w:b w:val="0"/>
          <w:bCs w:val="0"/>
          <w:sz w:val="26"/>
          <w:szCs w:val="26"/>
          <w:highlight w:val="none"/>
        </w:rPr>
        <w:t xml:space="preserve">в зоне застройки индивидуальными жилыми домами.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Технические условия подключения объекта капитального строительства к сетям, срок действия технических условий, плата за подключение: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–</w:t>
        <w:tab/>
        <w:t xml:space="preserve"> Письмо  филиала АО «ИЭСК» «Восточные электрические сети»  «О возможности технологического присоединения к сетям АО «ИЭСК» от 04.09.2025 № 14909.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По информации филиала АО «ИЭСК» «Восточные электрические сети»  присоединение объекта  к электрическим сетям   возможно путем создания распределительных сетей 0,4-6(10)кВ АО «ИЭСК» от ПС  35/10 кВ Лыловщина.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–</w:t>
        <w:tab/>
        <w:t xml:space="preserve">Письмо ООО «Южнобайкальское» от 25.07.2025 № 380/25.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eastAsia="Times New Roman" w:cs="Times New Roman"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Сети централизованного водоснабжения и водоотведения отсутствуют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  <w:t xml:space="preserve">.</w:t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sz w:val="26"/>
          <w:szCs w:val="26"/>
          <w:highlight w:val="none"/>
        </w:rPr>
      </w:r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Срок действия договора аренды: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20 лет.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Начальный размер годовой арендной платы: 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145 019 (Сто сорок пять тысяч девятнадцать) рублей.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Шаг аукциона: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3% от начального размера годовой арендной платы в сумме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4 350,57 (Четыре тысячи триста пятьдесят) рублей 57 копейки.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/>
    </w:p>
    <w:p>
      <w:pPr>
        <w:ind w:firstLine="53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b w:val="0"/>
          <w:bCs w:val="0"/>
        </w:rPr>
      </w:pP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  <w:t xml:space="preserve">Размер задатка:</w:t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 100 % начального размера годовой арендной платы в сумме </w:t>
      </w:r>
      <w:r>
        <w:rPr>
          <w:rFonts w:ascii="Times New Roman" w:hAnsi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  <w:t xml:space="preserve">145 019 (Сто сорок пять тысяч девятнадцать) рублей.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b w:val="0"/>
          <w:bCs w:val="0"/>
        </w:rPr>
      </w:r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4.1.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Прием заявок на участие в аукционе осуществлялся в период с 19 марта 2026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г. с 10:00 по 20 апреля 2026 г. до 10:00 часов включительно по местному времени, на сайте электронной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торговой площадки АО «Сбербанк-АСТ» 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u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t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p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s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b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e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r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b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a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n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k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-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a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s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t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r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u</w:t>
      </w:r>
      <w:r>
        <w:rPr>
          <w:rFonts w:ascii="Times New Roman" w:hAnsi="Times New Roman" w:cs="Times New Roman"/>
          <w:color w:val="000000"/>
          <w:sz w:val="26"/>
          <w:szCs w:val="26"/>
          <w:highlight w:val="white"/>
        </w:rPr>
        <w:t xml:space="preserve"> на момент окончания с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рока подачи заявок на участие в аукционе не было предоставлено ни одной заявки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.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Аукцион признан не состоявшимся.</w:t>
      </w: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color w:val="000000"/>
          <w:sz w:val="26"/>
          <w:szCs w:val="26"/>
        </w:rPr>
      </w:r>
    </w:p>
    <w:p>
      <w:pPr>
        <w:ind w:left="0" w:right="0" w:firstLine="709"/>
        <w:jc w:val="both"/>
        <w:spacing w:after="0" w:line="240" w:lineRule="auto"/>
        <w:tabs>
          <w:tab w:val="left" w:pos="540" w:leader="none"/>
          <w:tab w:val="left" w:pos="720" w:leader="none"/>
        </w:tabs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Настоящий протокол размещен в сети «Интернет» на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11" w:tooltip="http://www.torgi.gov.ru" w:history="1">
        <w:r>
          <w:rPr>
            <w:rFonts w:ascii="Times New Roman" w:hAnsi="Times New Roman" w:cs="Times New Roman"/>
            <w:sz w:val="26"/>
            <w:szCs w:val="26"/>
            <w:u w:val="single"/>
          </w:rPr>
          <w:t xml:space="preserve">www.torgi.gov.ru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(ГИС Торги),</w:t>
      </w: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utp</w:t>
      </w:r>
      <w:r>
        <w:rPr>
          <w:rFonts w:ascii="Times New Roman" w:hAnsi="Times New Roman" w:cs="Times New Roman"/>
          <w:sz w:val="26"/>
          <w:szCs w:val="26"/>
        </w:rPr>
        <w:t xml:space="preserve">.s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berbank</w:t>
      </w:r>
      <w:r>
        <w:rPr>
          <w:rFonts w:ascii="Times New Roman" w:hAnsi="Times New Roman" w:cs="Times New Roman"/>
          <w:sz w:val="26"/>
          <w:szCs w:val="26"/>
        </w:rPr>
        <w:t xml:space="preserve">-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ast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  <w:lang w:val="en-US"/>
        </w:rPr>
        <w:t xml:space="preserve">ru</w:t>
      </w:r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sz w:val="26"/>
          <w:szCs w:val="26"/>
        </w:rPr>
        <w:t xml:space="preserve"> официальном сайте уполномоченного органа </w:t>
      </w:r>
      <w:r>
        <w:rPr>
          <w:rFonts w:ascii="Times New Roman" w:hAnsi="Times New Roman" w:cs="Times New Roman"/>
          <w:sz w:val="26"/>
          <w:szCs w:val="26"/>
        </w:rPr>
      </w:r>
      <w:hyperlink r:id="rId12" w:tooltip="http://www.mio.irkobl.ru" w:history="1"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w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m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i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o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i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r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k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o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b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l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.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r</w:t>
        </w:r>
        <w:r>
          <w:rPr>
            <w:rStyle w:val="868"/>
            <w:rFonts w:ascii="Times New Roman" w:hAnsi="Times New Roman" w:cs="Times New Roman"/>
            <w:sz w:val="26"/>
            <w:szCs w:val="26"/>
          </w:rPr>
          <w:t xml:space="preserve">u</w:t>
        </w:r>
      </w:hyperlink>
      <w:r>
        <w:rPr>
          <w:rFonts w:ascii="Times New Roman" w:hAnsi="Times New Roman" w:cs="Times New Roman"/>
          <w:sz w:val="26"/>
          <w:szCs w:val="26"/>
        </w:rPr>
        <w:t xml:space="preserve">,</w:t>
      </w:r>
      <w:r>
        <w:rPr>
          <w:rFonts w:ascii="Times New Roman" w:hAnsi="Times New Roman" w:cs="Times New Roman"/>
          <w:bCs/>
          <w:sz w:val="26"/>
          <w:szCs w:val="26"/>
        </w:rPr>
        <w:t xml:space="preserve"> на сайте организатора аукциона www.irkfi.ru</w:t>
      </w:r>
      <w:r>
        <w:rPr>
          <w:rFonts w:ascii="Times New Roman" w:hAnsi="Times New Roman" w:cs="Times New Roman"/>
          <w:color w:val="0000ff"/>
          <w:sz w:val="26"/>
          <w:szCs w:val="26"/>
          <w:u w:val="single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contextualSpacing/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Председатель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1.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Обухов Алексей Геннадьевич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Заместитель председателя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2.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Черепанова Светлана Владимировна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  <w:highlight w:val="none"/>
        </w:rPr>
      </w:pPr>
      <w:r>
        <w:rPr>
          <w:rFonts w:ascii="Times New Roman" w:hAnsi="Times New Roman"/>
          <w:sz w:val="26"/>
          <w:szCs w:val="26"/>
        </w:rPr>
        <w:t xml:space="preserve">Член комиссии</w:t>
      </w:r>
      <w:r>
        <w:rPr>
          <w:rFonts w:ascii="Times New Roman" w:hAnsi="Times New Roman"/>
          <w:sz w:val="26"/>
          <w:szCs w:val="26"/>
          <w:highlight w:val="none"/>
        </w:rPr>
      </w:r>
      <w:r>
        <w:rPr>
          <w:rFonts w:ascii="Times New Roman" w:hAnsi="Times New Roman"/>
          <w:sz w:val="26"/>
          <w:szCs w:val="26"/>
          <w:highlight w:val="none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Ермак Виктор Акимович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Секретарь комиссии</w:t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p>
      <w:pPr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  <w:r>
        <w:rPr>
          <w:rFonts w:ascii="Times New Roman" w:hAnsi="Times New Roman"/>
          <w:sz w:val="26"/>
          <w:szCs w:val="26"/>
        </w:rPr>
      </w: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jc w:val="both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4.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Мануева Арюна Юрьевна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singl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10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60" w:type="dxa"/>
            <w:textDirection w:val="lrTb"/>
            <w:noWrap w:val="false"/>
          </w:tcPr>
          <w:p>
            <w:pPr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28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(подпись)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</w:tr>
    </w:tbl>
    <w:p>
      <w:pPr>
        <w:jc w:val="both"/>
        <w:spacing w:after="0" w:line="240" w:lineRule="auto"/>
        <w:widowControl w:val="off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5" w:h="16837" w:orient="portrait"/>
      <w:pgMar w:top="851" w:right="565" w:bottom="962" w:left="1134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80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5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4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6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8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7"/>
  </w:num>
  <w:num w:numId="5">
    <w:abstractNumId w:val="11"/>
  </w:num>
  <w:num w:numId="6">
    <w:abstractNumId w:val="5"/>
  </w:num>
  <w:num w:numId="7">
    <w:abstractNumId w:val="12"/>
  </w:num>
  <w:num w:numId="8">
    <w:abstractNumId w:val="4"/>
  </w:num>
  <w:num w:numId="9">
    <w:abstractNumId w:val="0"/>
  </w:num>
  <w:num w:numId="10">
    <w:abstractNumId w:val="2"/>
  </w:num>
  <w:num w:numId="11">
    <w:abstractNumId w:val="1"/>
  </w:num>
  <w:num w:numId="12">
    <w:abstractNumId w:val="10"/>
  </w:num>
  <w:num w:numId="13">
    <w:abstractNumId w:val="3"/>
  </w:num>
  <w:num w:numId="14">
    <w:abstractNumId w:val="8"/>
  </w:num>
  <w:num w:numId="15">
    <w:abstractNumId w:val="14"/>
  </w:num>
  <w:num w:numId="16">
    <w:abstractNumId w:val="15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8">
    <w:name w:val="Heading 1 Char"/>
    <w:basedOn w:val="864"/>
    <w:link w:val="863"/>
    <w:uiPriority w:val="9"/>
    <w:rPr>
      <w:rFonts w:ascii="Arial" w:hAnsi="Arial" w:eastAsia="Arial" w:cs="Arial"/>
      <w:sz w:val="40"/>
      <w:szCs w:val="40"/>
    </w:rPr>
  </w:style>
  <w:style w:type="paragraph" w:styleId="689">
    <w:name w:val="Heading 2"/>
    <w:basedOn w:val="862"/>
    <w:next w:val="862"/>
    <w:link w:val="69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0">
    <w:name w:val="Heading 2 Char"/>
    <w:basedOn w:val="864"/>
    <w:link w:val="689"/>
    <w:uiPriority w:val="9"/>
    <w:rPr>
      <w:rFonts w:ascii="Arial" w:hAnsi="Arial" w:eastAsia="Arial" w:cs="Arial"/>
      <w:sz w:val="34"/>
    </w:rPr>
  </w:style>
  <w:style w:type="paragraph" w:styleId="691">
    <w:name w:val="Heading 3"/>
    <w:basedOn w:val="862"/>
    <w:next w:val="862"/>
    <w:link w:val="69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2">
    <w:name w:val="Heading 3 Char"/>
    <w:basedOn w:val="864"/>
    <w:link w:val="691"/>
    <w:uiPriority w:val="9"/>
    <w:rPr>
      <w:rFonts w:ascii="Arial" w:hAnsi="Arial" w:eastAsia="Arial" w:cs="Arial"/>
      <w:sz w:val="30"/>
      <w:szCs w:val="30"/>
    </w:rPr>
  </w:style>
  <w:style w:type="paragraph" w:styleId="693">
    <w:name w:val="Heading 4"/>
    <w:basedOn w:val="862"/>
    <w:next w:val="862"/>
    <w:link w:val="69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4">
    <w:name w:val="Heading 4 Char"/>
    <w:basedOn w:val="864"/>
    <w:link w:val="693"/>
    <w:uiPriority w:val="9"/>
    <w:rPr>
      <w:rFonts w:ascii="Arial" w:hAnsi="Arial" w:eastAsia="Arial" w:cs="Arial"/>
      <w:b/>
      <w:bCs/>
      <w:sz w:val="26"/>
      <w:szCs w:val="26"/>
    </w:rPr>
  </w:style>
  <w:style w:type="paragraph" w:styleId="695">
    <w:name w:val="Heading 5"/>
    <w:basedOn w:val="862"/>
    <w:next w:val="862"/>
    <w:link w:val="69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6">
    <w:name w:val="Heading 5 Char"/>
    <w:basedOn w:val="864"/>
    <w:link w:val="695"/>
    <w:uiPriority w:val="9"/>
    <w:rPr>
      <w:rFonts w:ascii="Arial" w:hAnsi="Arial" w:eastAsia="Arial" w:cs="Arial"/>
      <w:b/>
      <w:bCs/>
      <w:sz w:val="24"/>
      <w:szCs w:val="24"/>
    </w:rPr>
  </w:style>
  <w:style w:type="paragraph" w:styleId="697">
    <w:name w:val="Heading 6"/>
    <w:basedOn w:val="862"/>
    <w:next w:val="862"/>
    <w:link w:val="69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8">
    <w:name w:val="Heading 6 Char"/>
    <w:basedOn w:val="864"/>
    <w:link w:val="697"/>
    <w:uiPriority w:val="9"/>
    <w:rPr>
      <w:rFonts w:ascii="Arial" w:hAnsi="Arial" w:eastAsia="Arial" w:cs="Arial"/>
      <w:b/>
      <w:bCs/>
      <w:sz w:val="22"/>
      <w:szCs w:val="22"/>
    </w:rPr>
  </w:style>
  <w:style w:type="paragraph" w:styleId="699">
    <w:name w:val="Heading 7"/>
    <w:basedOn w:val="862"/>
    <w:next w:val="862"/>
    <w:link w:val="70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0">
    <w:name w:val="Heading 7 Char"/>
    <w:basedOn w:val="864"/>
    <w:link w:val="69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1">
    <w:name w:val="Heading 8"/>
    <w:basedOn w:val="862"/>
    <w:next w:val="862"/>
    <w:link w:val="70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2">
    <w:name w:val="Heading 8 Char"/>
    <w:basedOn w:val="864"/>
    <w:link w:val="701"/>
    <w:uiPriority w:val="9"/>
    <w:rPr>
      <w:rFonts w:ascii="Arial" w:hAnsi="Arial" w:eastAsia="Arial" w:cs="Arial"/>
      <w:i/>
      <w:iCs/>
      <w:sz w:val="22"/>
      <w:szCs w:val="22"/>
    </w:rPr>
  </w:style>
  <w:style w:type="paragraph" w:styleId="703">
    <w:name w:val="Heading 9"/>
    <w:basedOn w:val="862"/>
    <w:next w:val="862"/>
    <w:link w:val="70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4">
    <w:name w:val="Heading 9 Char"/>
    <w:basedOn w:val="864"/>
    <w:link w:val="703"/>
    <w:uiPriority w:val="9"/>
    <w:rPr>
      <w:rFonts w:ascii="Arial" w:hAnsi="Arial" w:eastAsia="Arial" w:cs="Arial"/>
      <w:i/>
      <w:iCs/>
      <w:sz w:val="21"/>
      <w:szCs w:val="21"/>
    </w:rPr>
  </w:style>
  <w:style w:type="paragraph" w:styleId="705">
    <w:name w:val="No Spacing"/>
    <w:uiPriority w:val="1"/>
    <w:qFormat/>
    <w:pPr>
      <w:spacing w:before="0" w:after="0" w:line="240" w:lineRule="auto"/>
    </w:pPr>
  </w:style>
  <w:style w:type="character" w:styleId="706">
    <w:name w:val="Title Char"/>
    <w:basedOn w:val="864"/>
    <w:link w:val="874"/>
    <w:uiPriority w:val="10"/>
    <w:rPr>
      <w:sz w:val="48"/>
      <w:szCs w:val="48"/>
    </w:rPr>
  </w:style>
  <w:style w:type="paragraph" w:styleId="707">
    <w:name w:val="Subtitle"/>
    <w:basedOn w:val="862"/>
    <w:next w:val="862"/>
    <w:link w:val="708"/>
    <w:uiPriority w:val="11"/>
    <w:qFormat/>
    <w:pPr>
      <w:spacing w:before="200" w:after="200"/>
    </w:pPr>
    <w:rPr>
      <w:sz w:val="24"/>
      <w:szCs w:val="24"/>
    </w:rPr>
  </w:style>
  <w:style w:type="character" w:styleId="708">
    <w:name w:val="Subtitle Char"/>
    <w:basedOn w:val="864"/>
    <w:link w:val="707"/>
    <w:uiPriority w:val="11"/>
    <w:rPr>
      <w:sz w:val="24"/>
      <w:szCs w:val="24"/>
    </w:rPr>
  </w:style>
  <w:style w:type="paragraph" w:styleId="709">
    <w:name w:val="Quote"/>
    <w:basedOn w:val="862"/>
    <w:next w:val="862"/>
    <w:link w:val="710"/>
    <w:uiPriority w:val="29"/>
    <w:qFormat/>
    <w:pPr>
      <w:ind w:left="720" w:right="720"/>
    </w:pPr>
    <w:rPr>
      <w:i/>
    </w:rPr>
  </w:style>
  <w:style w:type="character" w:styleId="710">
    <w:name w:val="Quote Char"/>
    <w:link w:val="709"/>
    <w:uiPriority w:val="29"/>
    <w:rPr>
      <w:i/>
    </w:rPr>
  </w:style>
  <w:style w:type="paragraph" w:styleId="711">
    <w:name w:val="Intense Quote"/>
    <w:basedOn w:val="862"/>
    <w:next w:val="862"/>
    <w:link w:val="71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2">
    <w:name w:val="Intense Quote Char"/>
    <w:link w:val="711"/>
    <w:uiPriority w:val="30"/>
    <w:rPr>
      <w:i/>
    </w:rPr>
  </w:style>
  <w:style w:type="paragraph" w:styleId="713">
    <w:name w:val="Header"/>
    <w:basedOn w:val="862"/>
    <w:link w:val="71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4">
    <w:name w:val="Header Char"/>
    <w:basedOn w:val="864"/>
    <w:link w:val="713"/>
    <w:uiPriority w:val="99"/>
  </w:style>
  <w:style w:type="paragraph" w:styleId="715">
    <w:name w:val="Footer"/>
    <w:basedOn w:val="862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6">
    <w:name w:val="Footer Char"/>
    <w:basedOn w:val="864"/>
    <w:link w:val="715"/>
    <w:uiPriority w:val="99"/>
  </w:style>
  <w:style w:type="paragraph" w:styleId="717">
    <w:name w:val="Caption"/>
    <w:basedOn w:val="862"/>
    <w:next w:val="862"/>
    <w:link w:val="71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8">
    <w:name w:val="Caption Char"/>
    <w:basedOn w:val="864"/>
    <w:link w:val="717"/>
    <w:uiPriority w:val="35"/>
    <w:rPr>
      <w:b/>
      <w:bCs/>
      <w:color w:val="4f81bd" w:themeColor="accent1"/>
      <w:sz w:val="18"/>
      <w:szCs w:val="18"/>
    </w:rPr>
  </w:style>
  <w:style w:type="table" w:styleId="719">
    <w:name w:val="Table Grid"/>
    <w:basedOn w:val="86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0">
    <w:name w:val="Table Grid Light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Plain Table 1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>
    <w:name w:val="Plain Table 2"/>
    <w:basedOn w:val="8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>
    <w:name w:val="Plain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4">
    <w:name w:val="Plain Table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Plain Table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6">
    <w:name w:val="Grid Table 1 Light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4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8">
    <w:name w:val="Grid Table 4 - Accent 1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9">
    <w:name w:val="Grid Table 4 - Accent 2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0">
    <w:name w:val="Grid Table 4 - Accent 3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1">
    <w:name w:val="Grid Table 4 - Accent 4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2">
    <w:name w:val="Grid Table 4 - Accent 5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3">
    <w:name w:val="Grid Table 4 - Accent 6"/>
    <w:basedOn w:val="8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4">
    <w:name w:val="Grid Table 5 Dark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5">
    <w:name w:val="Grid Table 5 Dark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6">
    <w:name w:val="Grid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8">
    <w:name w:val="Grid Table 5 Dark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9">
    <w:name w:val="Grid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1">
    <w:name w:val="Grid Table 6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2">
    <w:name w:val="Grid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3">
    <w:name w:val="Grid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4">
    <w:name w:val="Grid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5">
    <w:name w:val="Grid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6">
    <w:name w:val="Grid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7">
    <w:name w:val="Grid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8">
    <w:name w:val="Grid Table 7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3">
    <w:name w:val="List Table 2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4">
    <w:name w:val="List Table 2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5">
    <w:name w:val="List Table 2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6">
    <w:name w:val="List Table 2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7">
    <w:name w:val="List Table 2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8">
    <w:name w:val="List Table 2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9">
    <w:name w:val="List Table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5 Dark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5 Dark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6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1">
    <w:name w:val="List Table 6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2">
    <w:name w:val="List Table 6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3">
    <w:name w:val="List Table 6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4">
    <w:name w:val="List Table 6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5">
    <w:name w:val="List Table 6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6">
    <w:name w:val="List Table 6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7">
    <w:name w:val="List Table 7 Colorful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8">
    <w:name w:val="List Table 7 Colorful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9">
    <w:name w:val="List Table 7 Colorful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0">
    <w:name w:val="List Table 7 Colorful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1">
    <w:name w:val="List Table 7 Colorful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2">
    <w:name w:val="List Table 7 Colorful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3">
    <w:name w:val="List Table 7 Colorful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4">
    <w:name w:val="Lined - Accent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5">
    <w:name w:val="Lined - Accent 1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6">
    <w:name w:val="Lined - Accent 2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7">
    <w:name w:val="Lined - Accent 3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8">
    <w:name w:val="Lined - Accent 4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9">
    <w:name w:val="Lined - Accent 5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0">
    <w:name w:val="Lined - Accent 6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1">
    <w:name w:val="Bordered &amp; Lined - Accent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2">
    <w:name w:val="Bordered &amp; Lined - Accent 1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3">
    <w:name w:val="Bordered &amp; Lined - Accent 2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4">
    <w:name w:val="Bordered &amp; Lined - Accent 3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5">
    <w:name w:val="Bordered &amp; Lined - Accent 4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6">
    <w:name w:val="Bordered &amp; Lined - Accent 5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7">
    <w:name w:val="Bordered &amp; Lined - Accent 6"/>
    <w:basedOn w:val="8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8">
    <w:name w:val="Bordered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9">
    <w:name w:val="Bordered - Accent 1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0">
    <w:name w:val="Bordered - Accent 2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1">
    <w:name w:val="Bordered - Accent 3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2">
    <w:name w:val="Bordered - Accent 4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3">
    <w:name w:val="Bordered - Accent 5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4">
    <w:name w:val="Bordered - Accent 6"/>
    <w:basedOn w:val="8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5">
    <w:name w:val="footnote text"/>
    <w:basedOn w:val="862"/>
    <w:link w:val="846"/>
    <w:uiPriority w:val="99"/>
    <w:semiHidden/>
    <w:unhideWhenUsed/>
    <w:pPr>
      <w:spacing w:after="40" w:line="240" w:lineRule="auto"/>
    </w:pPr>
    <w:rPr>
      <w:sz w:val="18"/>
    </w:rPr>
  </w:style>
  <w:style w:type="character" w:styleId="846">
    <w:name w:val="Footnote Text Char"/>
    <w:link w:val="845"/>
    <w:uiPriority w:val="99"/>
    <w:rPr>
      <w:sz w:val="18"/>
    </w:rPr>
  </w:style>
  <w:style w:type="character" w:styleId="847">
    <w:name w:val="footnote reference"/>
    <w:basedOn w:val="864"/>
    <w:uiPriority w:val="99"/>
    <w:unhideWhenUsed/>
    <w:rPr>
      <w:vertAlign w:val="superscript"/>
    </w:rPr>
  </w:style>
  <w:style w:type="paragraph" w:styleId="848">
    <w:name w:val="endnote text"/>
    <w:basedOn w:val="862"/>
    <w:link w:val="849"/>
    <w:uiPriority w:val="99"/>
    <w:semiHidden/>
    <w:unhideWhenUsed/>
    <w:pPr>
      <w:spacing w:after="0" w:line="240" w:lineRule="auto"/>
    </w:pPr>
    <w:rPr>
      <w:sz w:val="20"/>
    </w:rPr>
  </w:style>
  <w:style w:type="character" w:styleId="849">
    <w:name w:val="Endnote Text Char"/>
    <w:link w:val="848"/>
    <w:uiPriority w:val="99"/>
    <w:rPr>
      <w:sz w:val="20"/>
    </w:rPr>
  </w:style>
  <w:style w:type="character" w:styleId="850">
    <w:name w:val="endnote reference"/>
    <w:basedOn w:val="864"/>
    <w:uiPriority w:val="99"/>
    <w:semiHidden/>
    <w:unhideWhenUsed/>
    <w:rPr>
      <w:vertAlign w:val="superscript"/>
    </w:rPr>
  </w:style>
  <w:style w:type="paragraph" w:styleId="851">
    <w:name w:val="toc 1"/>
    <w:basedOn w:val="862"/>
    <w:next w:val="862"/>
    <w:uiPriority w:val="39"/>
    <w:unhideWhenUsed/>
    <w:pPr>
      <w:ind w:left="0" w:right="0" w:firstLine="0"/>
      <w:spacing w:after="57"/>
    </w:pPr>
  </w:style>
  <w:style w:type="paragraph" w:styleId="852">
    <w:name w:val="toc 2"/>
    <w:basedOn w:val="862"/>
    <w:next w:val="862"/>
    <w:uiPriority w:val="39"/>
    <w:unhideWhenUsed/>
    <w:pPr>
      <w:ind w:left="283" w:right="0" w:firstLine="0"/>
      <w:spacing w:after="57"/>
    </w:pPr>
  </w:style>
  <w:style w:type="paragraph" w:styleId="853">
    <w:name w:val="toc 3"/>
    <w:basedOn w:val="862"/>
    <w:next w:val="862"/>
    <w:uiPriority w:val="39"/>
    <w:unhideWhenUsed/>
    <w:pPr>
      <w:ind w:left="567" w:right="0" w:firstLine="0"/>
      <w:spacing w:after="57"/>
    </w:pPr>
  </w:style>
  <w:style w:type="paragraph" w:styleId="854">
    <w:name w:val="toc 4"/>
    <w:basedOn w:val="862"/>
    <w:next w:val="862"/>
    <w:uiPriority w:val="39"/>
    <w:unhideWhenUsed/>
    <w:pPr>
      <w:ind w:left="850" w:right="0" w:firstLine="0"/>
      <w:spacing w:after="57"/>
    </w:pPr>
  </w:style>
  <w:style w:type="paragraph" w:styleId="855">
    <w:name w:val="toc 5"/>
    <w:basedOn w:val="862"/>
    <w:next w:val="862"/>
    <w:uiPriority w:val="39"/>
    <w:unhideWhenUsed/>
    <w:pPr>
      <w:ind w:left="1134" w:right="0" w:firstLine="0"/>
      <w:spacing w:after="57"/>
    </w:pPr>
  </w:style>
  <w:style w:type="paragraph" w:styleId="856">
    <w:name w:val="toc 6"/>
    <w:basedOn w:val="862"/>
    <w:next w:val="862"/>
    <w:uiPriority w:val="39"/>
    <w:unhideWhenUsed/>
    <w:pPr>
      <w:ind w:left="1417" w:right="0" w:firstLine="0"/>
      <w:spacing w:after="57"/>
    </w:pPr>
  </w:style>
  <w:style w:type="paragraph" w:styleId="857">
    <w:name w:val="toc 7"/>
    <w:basedOn w:val="862"/>
    <w:next w:val="862"/>
    <w:uiPriority w:val="39"/>
    <w:unhideWhenUsed/>
    <w:pPr>
      <w:ind w:left="1701" w:right="0" w:firstLine="0"/>
      <w:spacing w:after="57"/>
    </w:pPr>
  </w:style>
  <w:style w:type="paragraph" w:styleId="858">
    <w:name w:val="toc 8"/>
    <w:basedOn w:val="862"/>
    <w:next w:val="862"/>
    <w:uiPriority w:val="39"/>
    <w:unhideWhenUsed/>
    <w:pPr>
      <w:ind w:left="1984" w:right="0" w:firstLine="0"/>
      <w:spacing w:after="57"/>
    </w:pPr>
  </w:style>
  <w:style w:type="paragraph" w:styleId="859">
    <w:name w:val="toc 9"/>
    <w:basedOn w:val="862"/>
    <w:next w:val="862"/>
    <w:uiPriority w:val="39"/>
    <w:unhideWhenUsed/>
    <w:pPr>
      <w:ind w:left="2268" w:right="0" w:firstLine="0"/>
      <w:spacing w:after="57"/>
    </w:pPr>
  </w:style>
  <w:style w:type="paragraph" w:styleId="860">
    <w:name w:val="TOC Heading"/>
    <w:uiPriority w:val="39"/>
    <w:unhideWhenUsed/>
  </w:style>
  <w:style w:type="paragraph" w:styleId="861">
    <w:name w:val="table of figures"/>
    <w:basedOn w:val="862"/>
    <w:next w:val="862"/>
    <w:uiPriority w:val="99"/>
    <w:unhideWhenUsed/>
    <w:pPr>
      <w:spacing w:after="0" w:afterAutospacing="0"/>
    </w:pPr>
  </w:style>
  <w:style w:type="paragraph" w:styleId="862" w:default="1">
    <w:name w:val="Normal"/>
    <w:qFormat/>
    <w:pPr>
      <w:spacing w:after="200" w:line="276" w:lineRule="auto"/>
    </w:pPr>
    <w:rPr>
      <w:rFonts w:cs="Calibri"/>
    </w:rPr>
  </w:style>
  <w:style w:type="paragraph" w:styleId="863">
    <w:name w:val="Heading 1"/>
    <w:basedOn w:val="862"/>
    <w:next w:val="862"/>
    <w:link w:val="867"/>
    <w:uiPriority w:val="99"/>
    <w:qFormat/>
    <w:pPr>
      <w:ind w:right="45"/>
      <w:keepNext/>
      <w:spacing w:after="0" w:line="240" w:lineRule="auto"/>
      <w:outlineLvl w:val="0"/>
    </w:pPr>
    <w:rPr>
      <w:rFonts w:cs="Times New Roman"/>
      <w:sz w:val="28"/>
      <w:szCs w:val="28"/>
    </w:rPr>
  </w:style>
  <w:style w:type="character" w:styleId="864" w:default="1">
    <w:name w:val="Default Paragraph Font"/>
    <w:uiPriority w:val="1"/>
    <w:semiHidden/>
    <w:unhideWhenUsed/>
  </w:style>
  <w:style w:type="table" w:styleId="8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6" w:default="1">
    <w:name w:val="No List"/>
    <w:uiPriority w:val="99"/>
    <w:semiHidden/>
    <w:unhideWhenUsed/>
  </w:style>
  <w:style w:type="character" w:styleId="867" w:customStyle="1">
    <w:name w:val="Заголовок 1 Знак"/>
    <w:basedOn w:val="864"/>
    <w:link w:val="863"/>
    <w:uiPriority w:val="99"/>
    <w:rPr>
      <w:rFonts w:ascii="Times New Roman" w:hAnsi="Times New Roman" w:cs="Times New Roman"/>
      <w:sz w:val="20"/>
      <w:szCs w:val="20"/>
    </w:rPr>
  </w:style>
  <w:style w:type="character" w:styleId="868">
    <w:name w:val="Hyperlink"/>
    <w:basedOn w:val="864"/>
    <w:uiPriority w:val="99"/>
    <w:rPr>
      <w:color w:val="0000ff"/>
      <w:u w:val="single"/>
    </w:rPr>
  </w:style>
  <w:style w:type="character" w:styleId="869" w:customStyle="1">
    <w:name w:val="Основной текст (3)_"/>
    <w:basedOn w:val="864"/>
    <w:link w:val="870"/>
    <w:uiPriority w:val="99"/>
    <w:rPr>
      <w:b/>
      <w:bCs/>
      <w:sz w:val="18"/>
      <w:szCs w:val="18"/>
      <w:shd w:val="clear" w:color="auto" w:fill="ffffff"/>
    </w:rPr>
  </w:style>
  <w:style w:type="paragraph" w:styleId="870" w:customStyle="1">
    <w:name w:val="Основной текст (3)1"/>
    <w:basedOn w:val="862"/>
    <w:link w:val="869"/>
    <w:uiPriority w:val="99"/>
    <w:pPr>
      <w:ind w:hanging="1460"/>
      <w:spacing w:before="180" w:after="180" w:line="221" w:lineRule="exact"/>
      <w:shd w:val="clear" w:color="auto" w:fill="ffffff"/>
    </w:pPr>
    <w:rPr>
      <w:b/>
      <w:bCs/>
      <w:sz w:val="18"/>
      <w:szCs w:val="18"/>
    </w:rPr>
  </w:style>
  <w:style w:type="paragraph" w:styleId="871">
    <w:name w:val="List Paragraph"/>
    <w:basedOn w:val="862"/>
    <w:link w:val="876"/>
    <w:uiPriority w:val="99"/>
    <w:qFormat/>
    <w:pPr>
      <w:ind w:left="720"/>
    </w:pPr>
  </w:style>
  <w:style w:type="paragraph" w:styleId="872">
    <w:name w:val="Balloon Text"/>
    <w:basedOn w:val="862"/>
    <w:link w:val="873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73" w:customStyle="1">
    <w:name w:val="Текст выноски Знак"/>
    <w:basedOn w:val="864"/>
    <w:link w:val="872"/>
    <w:uiPriority w:val="99"/>
    <w:semiHidden/>
    <w:rPr>
      <w:rFonts w:ascii="Tahoma" w:hAnsi="Tahoma" w:cs="Tahoma"/>
      <w:sz w:val="16"/>
      <w:szCs w:val="16"/>
    </w:rPr>
  </w:style>
  <w:style w:type="paragraph" w:styleId="874">
    <w:name w:val="Title"/>
    <w:basedOn w:val="862"/>
    <w:link w:val="875"/>
    <w:uiPriority w:val="99"/>
    <w:qFormat/>
    <w:pPr>
      <w:jc w:val="center"/>
      <w:spacing w:after="0" w:line="240" w:lineRule="auto"/>
    </w:pPr>
    <w:rPr>
      <w:rFonts w:ascii="Times New Roman" w:hAnsi="Times New Roman" w:cs="Times New Roman"/>
      <w:bCs/>
      <w:sz w:val="24"/>
      <w:szCs w:val="20"/>
    </w:rPr>
  </w:style>
  <w:style w:type="character" w:styleId="875" w:customStyle="1">
    <w:name w:val="Заголовок Знак"/>
    <w:basedOn w:val="864"/>
    <w:link w:val="874"/>
    <w:uiPriority w:val="99"/>
    <w:rPr>
      <w:rFonts w:ascii="Times New Roman" w:hAnsi="Times New Roman"/>
      <w:bCs/>
      <w:sz w:val="24"/>
      <w:szCs w:val="20"/>
    </w:rPr>
  </w:style>
  <w:style w:type="character" w:styleId="876" w:customStyle="1">
    <w:name w:val="Абзац списка Знак"/>
    <w:link w:val="871"/>
    <w:uiPriority w:val="99"/>
    <w:rPr>
      <w:rFonts w:cs="Calibri"/>
    </w:rPr>
  </w:style>
  <w:style w:type="table" w:styleId="877" w:customStyle="1">
    <w:name w:val="Table Normal"/>
    <w:uiPriority w:val="2"/>
    <w:semiHidden/>
    <w:unhideWhenUsed/>
    <w:qFormat/>
    <w:pPr>
      <w:widowControl w:val="off"/>
    </w:pPr>
    <w:rPr>
      <w:rFonts w:asciiTheme="minorHAnsi" w:hAnsiTheme="minorHAnsi" w:eastAsiaTheme="minorHAnsi" w:cstheme="minorBidi"/>
      <w:lang w:val="en-US" w:eastAsia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paragraph" w:styleId="878" w:customStyle="1">
    <w:name w:val="Table Paragraph"/>
    <w:basedOn w:val="862"/>
    <w:uiPriority w:val="1"/>
    <w:qFormat/>
    <w:pPr>
      <w:ind w:left="55"/>
      <w:spacing w:before="41" w:after="0" w:line="240" w:lineRule="auto"/>
      <w:widowControl w:val="off"/>
    </w:pPr>
    <w:rPr>
      <w:rFonts w:ascii="Microsoft Sans Serif" w:hAnsi="Microsoft Sans Serif" w:eastAsia="Microsoft Sans Serif" w:cs="Microsoft Sans Serif"/>
      <w:lang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orgi.gov.ru" TargetMode="External"/><Relationship Id="rId11" Type="http://schemas.openxmlformats.org/officeDocument/2006/relationships/hyperlink" Target="http://www.torgi.gov.ru" TargetMode="External"/><Relationship Id="rId12" Type="http://schemas.openxmlformats.org/officeDocument/2006/relationships/hyperlink" Target="http://www.mio.irkobl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A7839-5342-46B2-8182-2E4C981C9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cherepanova</dc:creator>
  <cp:lastModifiedBy>manueva</cp:lastModifiedBy>
  <cp:revision>32</cp:revision>
  <dcterms:created xsi:type="dcterms:W3CDTF">2025-10-07T08:18:00Z</dcterms:created>
  <dcterms:modified xsi:type="dcterms:W3CDTF">2026-04-20T02:52:48Z</dcterms:modified>
</cp:coreProperties>
</file>