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before="60" w:after="100" w:line="240" w:lineRule="auto"/>
        <w:widowControl w:val="off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</w:t>
      </w:r>
      <w:r>
        <w:rPr>
          <w:rFonts w:ascii="Times New Roman" w:hAnsi="Times New Roman" w:cs="Times New Roman"/>
          <w:sz w:val="28"/>
          <w:szCs w:val="28"/>
        </w:rPr>
        <w:t xml:space="preserve">№25</w:t>
      </w:r>
      <w:r>
        <w:rPr>
          <w:rFonts w:ascii="Times New Roman" w:hAnsi="Times New Roman" w:cs="Times New Roman"/>
          <w:sz w:val="28"/>
          <w:szCs w:val="28"/>
        </w:rPr>
        <w:t xml:space="preserve">-АЗ/26</w:t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аукционе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в электронной форме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№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2200014719000000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0277</w:t>
      </w: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г. Иркутск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13.04.</w:t>
      </w:r>
      <w:r>
        <w:rPr>
          <w:rFonts w:ascii="Times New Roman" w:hAnsi="Times New Roman" w:cs="Times New Roman"/>
          <w:sz w:val="26"/>
          <w:szCs w:val="26"/>
        </w:rPr>
        <w:t xml:space="preserve">2026 </w:t>
      </w:r>
      <w:r>
        <w:rPr>
          <w:rFonts w:ascii="Times New Roman" w:hAnsi="Times New Roman" w:cs="Times New Roman"/>
          <w:sz w:val="26"/>
          <w:szCs w:val="26"/>
        </w:rPr>
        <w:t xml:space="preserve">г.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18"/>
          <w:szCs w:val="26"/>
        </w:rPr>
      </w:pPr>
      <w:r>
        <w:rPr>
          <w:rFonts w:ascii="Times New Roman" w:hAnsi="Times New Roman" w:cs="Times New Roman"/>
          <w:sz w:val="18"/>
          <w:szCs w:val="26"/>
        </w:rPr>
      </w:r>
      <w:r>
        <w:rPr>
          <w:rFonts w:ascii="Times New Roman" w:hAnsi="Times New Roman" w:cs="Times New Roman"/>
          <w:sz w:val="18"/>
          <w:szCs w:val="26"/>
        </w:rPr>
      </w:r>
      <w:r>
        <w:rPr>
          <w:rFonts w:ascii="Times New Roman" w:hAnsi="Times New Roman" w:cs="Times New Roman"/>
          <w:sz w:val="18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Аукционная комиссия областного государственного казенного учреждения “Фонд имущества Иркутской области” 13 апреля</w:t>
      </w:r>
      <w:r>
        <w:rPr>
          <w:rFonts w:ascii="Times New Roman" w:hAnsi="Times New Roman" w:cs="Times New Roman"/>
          <w:sz w:val="26"/>
          <w:szCs w:val="26"/>
        </w:rPr>
        <w:t xml:space="preserve"> 2026</w:t>
      </w:r>
      <w:r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провела процедуру рассмотрения заявок</w:t>
      </w:r>
      <w:r>
        <w:rPr>
          <w:rFonts w:ascii="Times New Roman" w:hAnsi="Times New Roman" w:cs="Times New Roman"/>
          <w:sz w:val="26"/>
          <w:szCs w:val="26"/>
        </w:rPr>
        <w:t xml:space="preserve"> на участие в аукционе </w:t>
      </w:r>
      <w:r>
        <w:rPr>
          <w:rFonts w:ascii="Times New Roman" w:hAnsi="Times New Roman" w:cs="Times New Roman"/>
          <w:sz w:val="26"/>
          <w:szCs w:val="26"/>
        </w:rPr>
        <w:t xml:space="preserve">по адресу: г. Иркутск, ул. Партизанская, д.1,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оф.</w:t>
      </w:r>
      <w:r>
        <w:rPr>
          <w:rFonts w:ascii="Times New Roman" w:hAnsi="Times New Roman" w:cs="Times New Roman"/>
          <w:sz w:val="26"/>
          <w:szCs w:val="26"/>
        </w:rPr>
        <w:t xml:space="preserve"> 49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57"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Рассмотрение заявок на участие в открытом </w:t>
      </w:r>
      <w:r>
        <w:rPr>
          <w:rFonts w:ascii="Times New Roman" w:hAnsi="Times New Roman" w:cs="Times New Roman"/>
          <w:sz w:val="26"/>
          <w:szCs w:val="26"/>
        </w:rPr>
        <w:t xml:space="preserve">электрон</w:t>
      </w:r>
      <w:r>
        <w:rPr>
          <w:rFonts w:ascii="Times New Roman" w:hAnsi="Times New Roman" w:cs="Times New Roman"/>
          <w:sz w:val="26"/>
          <w:szCs w:val="26"/>
        </w:rPr>
        <w:t xml:space="preserve">н</w:t>
      </w:r>
      <w:r>
        <w:rPr>
          <w:rFonts w:ascii="Times New Roman" w:hAnsi="Times New Roman" w:cs="Times New Roman"/>
          <w:sz w:val="26"/>
          <w:szCs w:val="26"/>
        </w:rPr>
        <w:t xml:space="preserve">ом </w:t>
      </w:r>
      <w:r>
        <w:rPr>
          <w:rFonts w:ascii="Times New Roman" w:hAnsi="Times New Roman" w:cs="Times New Roman"/>
          <w:sz w:val="26"/>
          <w:szCs w:val="26"/>
        </w:rPr>
        <w:t xml:space="preserve">аукционе проводилось комиссией, в следующем составе: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1"/>
        <w:numPr>
          <w:ilvl w:val="0"/>
          <w:numId w:val="13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Председатель комиссии – Обухов Алексей Геннадьевич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1"/>
        <w:numPr>
          <w:ilvl w:val="0"/>
          <w:numId w:val="13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Заместитель председателя комиссии – Черепанова Светлана Владимировна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1"/>
        <w:numPr>
          <w:ilvl w:val="0"/>
          <w:numId w:val="13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Член комиссии – </w:t>
      </w:r>
      <w:r>
        <w:rPr>
          <w:rFonts w:ascii="Times New Roman" w:hAnsi="Times New Roman" w:cs="Times New Roman"/>
          <w:sz w:val="26"/>
          <w:szCs w:val="26"/>
        </w:rPr>
        <w:t xml:space="preserve">Ермак Виктор Акимович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1"/>
        <w:numPr>
          <w:ilvl w:val="0"/>
          <w:numId w:val="13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Секретарь комиссии – Мануева Арюна Юрьевна 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57" w:firstLine="714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Все</w:t>
      </w:r>
      <w:r>
        <w:rPr>
          <w:rFonts w:ascii="Times New Roman" w:hAnsi="Times New Roman" w:cs="Times New Roman"/>
          <w:sz w:val="26"/>
          <w:szCs w:val="26"/>
        </w:rPr>
        <w:t xml:space="preserve">го на заседании присутствовало 4</w:t>
      </w:r>
      <w:r>
        <w:rPr>
          <w:rFonts w:ascii="Times New Roman" w:hAnsi="Times New Roman" w:cs="Times New Roman"/>
          <w:sz w:val="26"/>
          <w:szCs w:val="26"/>
        </w:rPr>
        <w:t xml:space="preserve"> член</w:t>
      </w:r>
      <w:r>
        <w:rPr>
          <w:rFonts w:ascii="Times New Roman" w:hAnsi="Times New Roman" w:cs="Times New Roman"/>
          <w:sz w:val="26"/>
          <w:szCs w:val="26"/>
        </w:rPr>
        <w:t xml:space="preserve">а</w:t>
      </w:r>
      <w:r>
        <w:rPr>
          <w:rFonts w:ascii="Times New Roman" w:hAnsi="Times New Roman" w:cs="Times New Roman"/>
          <w:sz w:val="26"/>
          <w:szCs w:val="26"/>
        </w:rPr>
        <w:t xml:space="preserve"> комиссии, что составило </w:t>
      </w:r>
      <w:r>
        <w:rPr>
          <w:rFonts w:ascii="Times New Roman" w:hAnsi="Times New Roman" w:cs="Times New Roman"/>
          <w:sz w:val="26"/>
          <w:szCs w:val="26"/>
        </w:rPr>
        <w:t xml:space="preserve">67</w:t>
      </w:r>
      <w:r>
        <w:rPr>
          <w:rFonts w:ascii="Times New Roman" w:hAnsi="Times New Roman" w:cs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14"/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14"/>
        <w:jc w:val="both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Извещение о проведении настоящего </w:t>
      </w:r>
      <w:r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>
        <w:rPr>
          <w:rFonts w:ascii="Times New Roman" w:hAnsi="Times New Roman" w:cs="Times New Roman"/>
          <w:sz w:val="26"/>
          <w:szCs w:val="26"/>
        </w:rPr>
        <w:t xml:space="preserve">аукциона было размещено</w:t>
      </w:r>
      <w:r>
        <w:rPr>
          <w:rFonts w:ascii="Times New Roman" w:hAnsi="Times New Roman" w:cs="Times New Roman"/>
          <w:sz w:val="26"/>
          <w:szCs w:val="26"/>
        </w:rPr>
        <w:t xml:space="preserve"> 10.03.2026</w:t>
      </w:r>
      <w:r>
        <w:rPr>
          <w:rFonts w:ascii="Times New Roman" w:hAnsi="Times New Roman" w:cs="Times New Roman"/>
          <w:sz w:val="26"/>
          <w:szCs w:val="26"/>
        </w:rPr>
        <w:t xml:space="preserve"> г. №</w:t>
      </w:r>
      <w:r>
        <w:rPr>
          <w:rFonts w:ascii="Times New Roman" w:hAnsi="Times New Roman" w:cs="Times New Roman"/>
          <w:sz w:val="26"/>
          <w:szCs w:val="26"/>
        </w:rPr>
        <w:t xml:space="preserve">2</w:t>
      </w:r>
      <w:r>
        <w:rPr>
          <w:rFonts w:ascii="Times New Roman" w:hAnsi="Times New Roman" w:cs="Times New Roman"/>
          <w:sz w:val="26"/>
          <w:szCs w:val="26"/>
        </w:rPr>
        <w:t xml:space="preserve">20001471900000</w:t>
      </w:r>
      <w:r>
        <w:rPr>
          <w:rFonts w:ascii="Times New Roman" w:hAnsi="Times New Roman" w:cs="Times New Roman"/>
          <w:sz w:val="26"/>
          <w:szCs w:val="26"/>
        </w:rPr>
        <w:t xml:space="preserve">00</w:t>
      </w:r>
      <w:r>
        <w:rPr>
          <w:rFonts w:ascii="Times New Roman" w:hAnsi="Times New Roman" w:cs="Times New Roman"/>
          <w:sz w:val="26"/>
          <w:szCs w:val="26"/>
        </w:rPr>
        <w:t xml:space="preserve">277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10" w:tooltip="http://www.torgi.gov.ru" w:history="1">
        <w:r>
          <w:rPr>
            <w:rStyle w:val="878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www</w:t>
        </w:r>
        <w:r>
          <w:rPr>
            <w:rStyle w:val="878"/>
            <w:rFonts w:ascii="Times New Roman" w:hAnsi="Times New Roman" w:cs="Times New Roman"/>
            <w:color w:val="auto"/>
            <w:sz w:val="26"/>
            <w:szCs w:val="26"/>
          </w:rPr>
          <w:t xml:space="preserve">.</w:t>
        </w:r>
        <w:r>
          <w:rPr>
            <w:rStyle w:val="878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torgi</w:t>
        </w:r>
        <w:r>
          <w:rPr>
            <w:rStyle w:val="878"/>
            <w:rFonts w:ascii="Times New Roman" w:hAnsi="Times New Roman" w:cs="Times New Roman"/>
            <w:color w:val="auto"/>
            <w:sz w:val="26"/>
            <w:szCs w:val="26"/>
          </w:rPr>
          <w:t xml:space="preserve">.</w:t>
        </w:r>
        <w:r>
          <w:rPr>
            <w:rStyle w:val="878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gov</w:t>
        </w:r>
        <w:r>
          <w:rPr>
            <w:rStyle w:val="878"/>
            <w:rFonts w:ascii="Times New Roman" w:hAnsi="Times New Roman" w:cs="Times New Roman"/>
            <w:color w:val="auto"/>
            <w:sz w:val="26"/>
            <w:szCs w:val="26"/>
          </w:rPr>
          <w:t xml:space="preserve">.</w:t>
        </w:r>
        <w:r>
          <w:rPr>
            <w:rStyle w:val="878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ru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(ГИС Торги)</w:t>
      </w:r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sz w:val="26"/>
          <w:szCs w:val="26"/>
        </w:rPr>
        <w:t xml:space="preserve"> в </w:t>
      </w:r>
      <w:r>
        <w:rPr>
          <w:rFonts w:ascii="Times New Roman" w:hAnsi="Times New Roman" w:cs="Times New Roman"/>
          <w:sz w:val="26"/>
          <w:szCs w:val="26"/>
        </w:rPr>
        <w:t xml:space="preserve">информационно - телекоммуникационной  </w:t>
      </w:r>
      <w:r>
        <w:rPr>
          <w:rFonts w:ascii="Times New Roman" w:hAnsi="Times New Roman" w:cs="Times New Roman"/>
          <w:sz w:val="26"/>
          <w:szCs w:val="26"/>
        </w:rPr>
        <w:t xml:space="preserve">сети «Интернет», </w:t>
      </w:r>
      <w:r>
        <w:rPr>
          <w:rFonts w:ascii="Times New Roman" w:hAnsi="Times New Roman" w:cs="Times New Roman"/>
          <w:sz w:val="26"/>
          <w:szCs w:val="26"/>
        </w:rPr>
        <w:t xml:space="preserve">официальном сайте</w:t>
      </w:r>
      <w:r>
        <w:rPr>
          <w:rFonts w:ascii="Times New Roman" w:hAnsi="Times New Roman" w:cs="Times New Roman"/>
          <w:sz w:val="26"/>
          <w:szCs w:val="26"/>
        </w:rPr>
        <w:t xml:space="preserve"> торговой</w:t>
      </w:r>
      <w:r>
        <w:rPr>
          <w:rFonts w:ascii="Times New Roman" w:hAnsi="Times New Roman" w:cs="Times New Roman"/>
          <w:sz w:val="26"/>
          <w:szCs w:val="26"/>
        </w:rPr>
        <w:t xml:space="preserve"> площадки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utp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.s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berbank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-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ast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.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ru</w:t>
      </w:r>
      <w:r>
        <w:rPr>
          <w:rStyle w:val="878"/>
          <w:rFonts w:ascii="Times New Roman" w:hAnsi="Times New Roman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(</w:t>
      </w:r>
      <w:r>
        <w:rPr>
          <w:rFonts w:ascii="Times New Roman" w:hAnsi="Times New Roman" w:cs="Times New Roman"/>
          <w:sz w:val="26"/>
          <w:szCs w:val="26"/>
        </w:rPr>
        <w:t xml:space="preserve">АО «Сбербанк-АСТ»</w:t>
      </w:r>
      <w:r>
        <w:rPr>
          <w:rFonts w:ascii="Times New Roman" w:hAnsi="Times New Roman" w:cs="Times New Roman"/>
          <w:sz w:val="26"/>
          <w:szCs w:val="26"/>
        </w:rPr>
        <w:t xml:space="preserve">)</w:t>
      </w:r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сайте </w:t>
      </w:r>
      <w:r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r>
        <w:rPr>
          <w:rFonts w:ascii="Times New Roman" w:hAnsi="Times New Roman" w:cs="Times New Roman"/>
          <w:bCs/>
          <w:sz w:val="26"/>
          <w:szCs w:val="26"/>
        </w:rPr>
        <w:t xml:space="preserve">ru</w:t>
      </w:r>
      <w:r>
        <w:rPr>
          <w:rStyle w:val="878"/>
          <w:rFonts w:ascii="Times New Roman" w:hAnsi="Times New Roman" w:cs="Times New Roman"/>
          <w:color w:val="auto"/>
          <w:sz w:val="26"/>
          <w:szCs w:val="26"/>
        </w:rPr>
        <w:t xml:space="preserve">.</w:t>
      </w: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4.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Предмет аукциона: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право заключения договора аренды земельного участка</w:t>
      </w:r>
      <w:r>
        <w:rPr>
          <w:rFonts w:ascii="Times New Roman" w:hAnsi="Times New Roman" w:cs="Times New Roman"/>
          <w:b/>
          <w:sz w:val="26"/>
          <w:szCs w:val="26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Характеристика земельного участка: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земельный участок из земель населённых пунктов площадью 1409 кв.м с кадастровым номером 38:06:120101:5160, адрес: Российская Федерация, Иркутская область, Иркутский район, сельское поселение  Карлукское, деревня Карлук, ул.Чапаева, земельный участок 6г.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Право на земельный участок: </w:t>
      </w:r>
      <w:r>
        <w:rPr>
          <w:rFonts w:ascii="Times New Roman" w:hAnsi="Times New Roman" w:cs="Times New Roman"/>
          <w:bCs/>
          <w:sz w:val="26"/>
          <w:szCs w:val="26"/>
        </w:rPr>
        <w:t xml:space="preserve">государственная собственность (право собственности не разграничено).</w:t>
      </w: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ab/>
        <w:t xml:space="preserve">Категория земель: </w:t>
      </w:r>
      <w:r>
        <w:rPr>
          <w:rFonts w:ascii="Times New Roman" w:hAnsi="Times New Roman" w:cs="Times New Roman"/>
          <w:bCs/>
          <w:iCs/>
          <w:sz w:val="26"/>
          <w:szCs w:val="26"/>
        </w:rPr>
        <w:t xml:space="preserve">земли населённых пунктов.</w:t>
      </w:r>
      <w:r>
        <w:rPr>
          <w:rFonts w:ascii="Times New Roman" w:hAnsi="Times New Roman" w:cs="Times New Roman"/>
          <w:bCs/>
          <w:iCs/>
          <w:sz w:val="26"/>
          <w:szCs w:val="26"/>
        </w:rPr>
      </w:r>
      <w:r>
        <w:rPr>
          <w:rFonts w:ascii="Times New Roman" w:hAnsi="Times New Roman" w:cs="Times New Roman"/>
          <w:bCs/>
          <w:i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Основные виды разрешенного использования: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для индивидуального жилищного строительства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4.1. Комиссией рассмотрены заявки на участие в электронном аукционе: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contextualSpacing/>
        <w:ind w:firstLine="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tbl>
      <w:tblPr>
        <w:tblpPr w:horzAnchor="page" w:tblpX="1227" w:vertAnchor="page" w:tblpY="11481" w:leftFromText="180" w:topFromText="0" w:rightFromText="180" w:bottomFromText="0"/>
        <w:tblW w:w="4983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4"/>
        <w:gridCol w:w="1758"/>
        <w:gridCol w:w="3202"/>
        <w:gridCol w:w="1417"/>
        <w:gridCol w:w="1559"/>
        <w:gridCol w:w="1760"/>
      </w:tblGrid>
      <w:tr>
        <w:tblPrEx/>
        <w:trPr>
          <w:trHeight w:val="961"/>
          <w:tblHeader/>
        </w:trPr>
        <w:tc>
          <w:tcPr>
            <w:tcW w:w="474" w:type="dxa"/>
            <w:vAlign w:val="center"/>
            <w:textDirection w:val="lrTb"/>
            <w:noWrap w:val="false"/>
          </w:tcPr>
          <w:p>
            <w:pPr>
              <w:ind w:left="-426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№ п/п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W w:w="175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 xml:space="preserve">Порядковый номер заявки, присвоенный на электронной площадке, дата, время</w:t>
            </w:r>
            <w:r>
              <w:rPr>
                <w:rFonts w:ascii="Times New Roman" w:hAnsi="Times New Roman" w:cs="Times New Roman"/>
                <w:bCs/>
                <w:szCs w:val="24"/>
              </w:rPr>
              <w:t xml:space="preserve">(МСК+)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20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 xml:space="preserve">ФИО, наименование заявителя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 xml:space="preserve">аукциона/ ИНН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Сведения о внесении задатка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 xml:space="preserve">Решение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</w:p>
        </w:tc>
        <w:tc>
          <w:tcPr>
            <w:tcW w:w="17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Причина отказа в допуске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>
          <w:trHeight w:val="1155"/>
        </w:trPr>
        <w:tc>
          <w:tcPr>
            <w:tcW w:w="47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7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4011 17.03.2026 10:41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</w:p>
        </w:tc>
        <w:tc>
          <w:tcPr>
            <w:tcW w:w="320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Круковский Игорь Григорьевич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381201266266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146 144.00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Допущен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760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1155"/>
        </w:trPr>
        <w:tc>
          <w:tcPr>
            <w:tcW w:w="4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75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5572 05.04.2026 15:25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</w:p>
        </w:tc>
        <w:tc>
          <w:tcPr>
            <w:tcW w:w="32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Апанов Антон Робертович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850201017760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146 144.00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Допущен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760" w:type="dxa"/>
            <w:vAlign w:val="center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1155"/>
        </w:trPr>
        <w:tc>
          <w:tcPr>
            <w:tcW w:w="4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75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5715 06.04.2026 08:46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</w:p>
        </w:tc>
        <w:tc>
          <w:tcPr>
            <w:tcW w:w="32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Погосян Карен Асомиддинович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382401088125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146 144.00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Допущен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760" w:type="dxa"/>
            <w:vAlign w:val="center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1155"/>
        </w:trPr>
        <w:tc>
          <w:tcPr>
            <w:tcW w:w="4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75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6029 07.04.2026 09:08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</w:p>
        </w:tc>
        <w:tc>
          <w:tcPr>
            <w:tcW w:w="32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Юркина Кристина Григорьевна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382009402130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146 144.00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Допущен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760" w:type="dxa"/>
            <w:vAlign w:val="center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1155"/>
        </w:trPr>
        <w:tc>
          <w:tcPr>
            <w:tcW w:w="4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5.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75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4099 08.04.2026 05:57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</w:p>
        </w:tc>
        <w:tc>
          <w:tcPr>
            <w:tcW w:w="32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Малгатаева Лариса Тыхеевна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850200689840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146 144.00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Допущен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760" w:type="dxa"/>
            <w:vAlign w:val="center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1155"/>
        </w:trPr>
        <w:tc>
          <w:tcPr>
            <w:tcW w:w="4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6.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75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3331 08.04.2026 10:07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</w:p>
        </w:tc>
        <w:tc>
          <w:tcPr>
            <w:tcW w:w="32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Добрынина Маргарита Станиславовна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381601978170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146 144.00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Допущен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7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1155"/>
        </w:trPr>
        <w:tc>
          <w:tcPr>
            <w:tcW w:w="4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7.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75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6871 10.04.2026 17:10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</w:p>
        </w:tc>
        <w:tc>
          <w:tcPr>
            <w:tcW w:w="32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Брыкин Виктор Александрович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032101728053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146 144.00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Допущен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7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4"/>
                <w:szCs w:val="1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1155"/>
        </w:trPr>
        <w:tc>
          <w:tcPr>
            <w:tcW w:w="4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8.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75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5863 11.04.2026 06:59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</w:p>
        </w:tc>
        <w:tc>
          <w:tcPr>
            <w:tcW w:w="32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Мелентьев Семен Юрьевич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380126250897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0.00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Не допущен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tcW w:w="17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Непоступление задатка на дату рассмотрения заявок на участие в аукционе (п.2 ч.8 ст.39.12 ЗК РФ).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1155"/>
        </w:trPr>
        <w:tc>
          <w:tcPr>
            <w:tcW w:w="4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9.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75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1923 11.04.2026 12:13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</w:p>
        </w:tc>
        <w:tc>
          <w:tcPr>
            <w:tcW w:w="32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Пучек Екатерина Рустамовна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381915547167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146 144.00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Допущен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tcW w:w="17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1155"/>
        </w:trPr>
        <w:tc>
          <w:tcPr>
            <w:tcW w:w="4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10.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75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9491 11.04.2026 16:43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</w:p>
        </w:tc>
        <w:tc>
          <w:tcPr>
            <w:tcW w:w="32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Петров Николай Юрьевич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382005585331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0.00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Не допущен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tcW w:w="17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Непоступление задатка на дату рассмотрения заявок на участие в аукционе (п.2 ч.8 ст.39.12 ЗК РФ).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1155"/>
        </w:trPr>
        <w:tc>
          <w:tcPr>
            <w:tcW w:w="4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11.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75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4781 11.04.2026 17:50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</w:p>
        </w:tc>
        <w:tc>
          <w:tcPr>
            <w:tcW w:w="32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Магометов Вячеслав Геннадьевич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382007008788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146 144.00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Допущен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7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1155"/>
        </w:trPr>
        <w:tc>
          <w:tcPr>
            <w:tcW w:w="4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12.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75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5974 11.04.2026 20:07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</w:p>
        </w:tc>
        <w:tc>
          <w:tcPr>
            <w:tcW w:w="32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Слободян Юлия Константиновна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381502007642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146 144.00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Допущен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7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</w:tbl>
    <w:p>
      <w:pPr>
        <w:contextualSpacing/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contextualSpacing/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</w:rPr>
        <w:t xml:space="preserve">4</w:t>
      </w:r>
      <w:r>
        <w:rPr>
          <w:rFonts w:ascii="Times New Roman" w:hAnsi="Times New Roman" w:cs="Times New Roman"/>
          <w:sz w:val="26"/>
          <w:szCs w:val="26"/>
        </w:rPr>
        <w:t xml:space="preserve">.2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  <w:t xml:space="preserve">Решение комиссии: допущены к участию в электронном аукционе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следующие заявители: 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pStyle w:val="881"/>
        <w:numPr>
          <w:ilvl w:val="0"/>
          <w:numId w:val="18"/>
        </w:numPr>
        <w:contextualSpacing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Круковский Игорь Григорьевич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1"/>
        <w:numPr>
          <w:ilvl w:val="0"/>
          <w:numId w:val="18"/>
        </w:numPr>
        <w:contextualSpacing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sz w:val="26"/>
          <w:szCs w:val="26"/>
        </w:rPr>
        <w:t xml:space="preserve">Апанов Антон Робертович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1"/>
        <w:numPr>
          <w:ilvl w:val="0"/>
          <w:numId w:val="18"/>
        </w:numPr>
        <w:contextualSpacing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Погосян Карен Асомиддинович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1"/>
        <w:numPr>
          <w:ilvl w:val="0"/>
          <w:numId w:val="18"/>
        </w:numPr>
        <w:contextualSpacing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Юркина Кристина Григорьевна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1"/>
        <w:numPr>
          <w:ilvl w:val="0"/>
          <w:numId w:val="18"/>
        </w:numPr>
        <w:contextualSpacing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Малгатаева Лариса Тыхеевна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1"/>
        <w:numPr>
          <w:ilvl w:val="0"/>
          <w:numId w:val="18"/>
        </w:numPr>
        <w:contextualSpacing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Добрынина Маргарита Станиславовна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1"/>
        <w:numPr>
          <w:ilvl w:val="0"/>
          <w:numId w:val="18"/>
        </w:numPr>
        <w:contextualSpacing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sz w:val="26"/>
          <w:szCs w:val="26"/>
        </w:rPr>
        <w:t xml:space="preserve">Брыкин Виктор Александрович</w:t>
      </w:r>
      <w:r>
        <w:rPr>
          <w:rFonts w:ascii="Times New Roman" w:hAnsi="Times New Roman" w:cs="Times New Roman"/>
          <w:sz w:val="26"/>
          <w:szCs w:val="26"/>
        </w:rPr>
      </w:r>
      <w:r/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1"/>
        <w:numPr>
          <w:ilvl w:val="0"/>
          <w:numId w:val="18"/>
        </w:numPr>
        <w:contextualSpacing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Пучек Екатерина Рустамовна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1"/>
        <w:numPr>
          <w:ilvl w:val="0"/>
          <w:numId w:val="18"/>
        </w:numPr>
        <w:contextualSpacing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Магометов Вячеслав Геннадьевич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1"/>
        <w:numPr>
          <w:ilvl w:val="0"/>
          <w:numId w:val="18"/>
        </w:numPr>
        <w:contextualSpacing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Слободян Юлия Константиновна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ind w:left="0" w:firstLine="0"/>
        <w:jc w:val="both"/>
        <w:spacing w:after="0" w:line="240" w:lineRule="auto"/>
        <w:widowControl w:val="off"/>
      </w:pPr>
      <w:r/>
      <w:r/>
    </w:p>
    <w:p>
      <w:pPr>
        <w:contextualSpacing/>
        <w:ind w:left="0" w:right="0"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</w:rPr>
        <w:t xml:space="preserve">Решение комиссии: не допущены к участию в электронном аукционе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следующие заявители: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pStyle w:val="881"/>
        <w:numPr>
          <w:ilvl w:val="0"/>
          <w:numId w:val="19"/>
        </w:numPr>
        <w:contextualSpacing/>
        <w:ind w:right="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Мелентьев Семен Юрьевич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pStyle w:val="881"/>
        <w:numPr>
          <w:ilvl w:val="0"/>
          <w:numId w:val="19"/>
        </w:numPr>
        <w:contextualSpacing/>
        <w:ind w:right="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Петров Николай Юрьевич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contextualSpacing/>
        <w:ind w:left="0" w:firstLine="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ind w:left="0" w:right="0" w:firstLine="70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Н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астоящий протокол размещен в сети «Интернет» на официальном сайте Российской Федерации www.torgi.gov.ru (ГИС Торги), на сайте электронной торговой площадки АО «Сбербанк-АСТ» utp.sberbank-ast.ru, официальном сайте уполномоченного органа www.mio.irkobl.ru  и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на сайте организатора аукциона www.irkfi.ru.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Председатель комиссии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1. Обухов Алексей Геннадьевич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Заместитель председателя комиссии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Черепанова Светлана Владимировна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</w:rPr>
        <w:t xml:space="preserve">Член комиссии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Ермак Виктор Акимович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Секретарь комиссии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4.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Мануева Арюна Юрьевна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sectPr>
      <w:footnotePr/>
      <w:endnotePr/>
      <w:type w:val="nextPage"/>
      <w:pgSz w:w="11905" w:h="16837" w:orient="portrait"/>
      <w:pgMar w:top="851" w:right="565" w:bottom="962" w:left="1134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num w:numId="1">
    <w:abstractNumId w:val="13"/>
  </w:num>
  <w:num w:numId="2">
    <w:abstractNumId w:val="9"/>
  </w:num>
  <w:num w:numId="3">
    <w:abstractNumId w:val="6"/>
  </w:num>
  <w:num w:numId="4">
    <w:abstractNumId w:val="7"/>
  </w:num>
  <w:num w:numId="5">
    <w:abstractNumId w:val="11"/>
  </w:num>
  <w:num w:numId="6">
    <w:abstractNumId w:val="5"/>
  </w:num>
  <w:num w:numId="7">
    <w:abstractNumId w:val="12"/>
  </w:num>
  <w:num w:numId="8">
    <w:abstractNumId w:val="4"/>
  </w:num>
  <w:num w:numId="9">
    <w:abstractNumId w:val="0"/>
  </w:num>
  <w:num w:numId="10">
    <w:abstractNumId w:val="2"/>
  </w:num>
  <w:num w:numId="11">
    <w:abstractNumId w:val="1"/>
  </w:num>
  <w:num w:numId="12">
    <w:abstractNumId w:val="10"/>
  </w:num>
  <w:num w:numId="13">
    <w:abstractNumId w:val="3"/>
  </w:num>
  <w:num w:numId="14">
    <w:abstractNumId w:val="8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8">
    <w:name w:val="Heading 1 Char"/>
    <w:basedOn w:val="874"/>
    <w:link w:val="873"/>
    <w:uiPriority w:val="9"/>
    <w:rPr>
      <w:rFonts w:ascii="Arial" w:hAnsi="Arial" w:eastAsia="Arial" w:cs="Arial"/>
      <w:sz w:val="40"/>
      <w:szCs w:val="40"/>
    </w:rPr>
  </w:style>
  <w:style w:type="paragraph" w:styleId="699">
    <w:name w:val="Heading 2"/>
    <w:basedOn w:val="872"/>
    <w:next w:val="872"/>
    <w:link w:val="70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00">
    <w:name w:val="Heading 2 Char"/>
    <w:basedOn w:val="874"/>
    <w:link w:val="699"/>
    <w:uiPriority w:val="9"/>
    <w:rPr>
      <w:rFonts w:ascii="Arial" w:hAnsi="Arial" w:eastAsia="Arial" w:cs="Arial"/>
      <w:sz w:val="34"/>
    </w:rPr>
  </w:style>
  <w:style w:type="paragraph" w:styleId="701">
    <w:name w:val="Heading 3"/>
    <w:basedOn w:val="872"/>
    <w:next w:val="872"/>
    <w:link w:val="70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2">
    <w:name w:val="Heading 3 Char"/>
    <w:basedOn w:val="874"/>
    <w:link w:val="701"/>
    <w:uiPriority w:val="9"/>
    <w:rPr>
      <w:rFonts w:ascii="Arial" w:hAnsi="Arial" w:eastAsia="Arial" w:cs="Arial"/>
      <w:sz w:val="30"/>
      <w:szCs w:val="30"/>
    </w:rPr>
  </w:style>
  <w:style w:type="paragraph" w:styleId="703">
    <w:name w:val="Heading 4"/>
    <w:basedOn w:val="872"/>
    <w:next w:val="872"/>
    <w:link w:val="70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4">
    <w:name w:val="Heading 4 Char"/>
    <w:basedOn w:val="874"/>
    <w:link w:val="703"/>
    <w:uiPriority w:val="9"/>
    <w:rPr>
      <w:rFonts w:ascii="Arial" w:hAnsi="Arial" w:eastAsia="Arial" w:cs="Arial"/>
      <w:b/>
      <w:bCs/>
      <w:sz w:val="26"/>
      <w:szCs w:val="26"/>
    </w:rPr>
  </w:style>
  <w:style w:type="paragraph" w:styleId="705">
    <w:name w:val="Heading 5"/>
    <w:basedOn w:val="872"/>
    <w:next w:val="872"/>
    <w:link w:val="70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6">
    <w:name w:val="Heading 5 Char"/>
    <w:basedOn w:val="874"/>
    <w:link w:val="705"/>
    <w:uiPriority w:val="9"/>
    <w:rPr>
      <w:rFonts w:ascii="Arial" w:hAnsi="Arial" w:eastAsia="Arial" w:cs="Arial"/>
      <w:b/>
      <w:bCs/>
      <w:sz w:val="24"/>
      <w:szCs w:val="24"/>
    </w:rPr>
  </w:style>
  <w:style w:type="paragraph" w:styleId="707">
    <w:name w:val="Heading 6"/>
    <w:basedOn w:val="872"/>
    <w:next w:val="872"/>
    <w:link w:val="70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8">
    <w:name w:val="Heading 6 Char"/>
    <w:basedOn w:val="874"/>
    <w:link w:val="707"/>
    <w:uiPriority w:val="9"/>
    <w:rPr>
      <w:rFonts w:ascii="Arial" w:hAnsi="Arial" w:eastAsia="Arial" w:cs="Arial"/>
      <w:b/>
      <w:bCs/>
      <w:sz w:val="22"/>
      <w:szCs w:val="22"/>
    </w:rPr>
  </w:style>
  <w:style w:type="paragraph" w:styleId="709">
    <w:name w:val="Heading 7"/>
    <w:basedOn w:val="872"/>
    <w:next w:val="872"/>
    <w:link w:val="71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0">
    <w:name w:val="Heading 7 Char"/>
    <w:basedOn w:val="874"/>
    <w:link w:val="70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1">
    <w:name w:val="Heading 8"/>
    <w:basedOn w:val="872"/>
    <w:next w:val="872"/>
    <w:link w:val="71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2">
    <w:name w:val="Heading 8 Char"/>
    <w:basedOn w:val="874"/>
    <w:link w:val="711"/>
    <w:uiPriority w:val="9"/>
    <w:rPr>
      <w:rFonts w:ascii="Arial" w:hAnsi="Arial" w:eastAsia="Arial" w:cs="Arial"/>
      <w:i/>
      <w:iCs/>
      <w:sz w:val="22"/>
      <w:szCs w:val="22"/>
    </w:rPr>
  </w:style>
  <w:style w:type="paragraph" w:styleId="713">
    <w:name w:val="Heading 9"/>
    <w:basedOn w:val="872"/>
    <w:next w:val="872"/>
    <w:link w:val="71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4">
    <w:name w:val="Heading 9 Char"/>
    <w:basedOn w:val="874"/>
    <w:link w:val="713"/>
    <w:uiPriority w:val="9"/>
    <w:rPr>
      <w:rFonts w:ascii="Arial" w:hAnsi="Arial" w:eastAsia="Arial" w:cs="Arial"/>
      <w:i/>
      <w:iCs/>
      <w:sz w:val="21"/>
      <w:szCs w:val="21"/>
    </w:rPr>
  </w:style>
  <w:style w:type="paragraph" w:styleId="715">
    <w:name w:val="No Spacing"/>
    <w:uiPriority w:val="1"/>
    <w:qFormat/>
    <w:pPr>
      <w:spacing w:before="0" w:after="0" w:line="240" w:lineRule="auto"/>
    </w:pPr>
  </w:style>
  <w:style w:type="character" w:styleId="716">
    <w:name w:val="Title Char"/>
    <w:basedOn w:val="874"/>
    <w:link w:val="884"/>
    <w:uiPriority w:val="10"/>
    <w:rPr>
      <w:sz w:val="48"/>
      <w:szCs w:val="48"/>
    </w:rPr>
  </w:style>
  <w:style w:type="paragraph" w:styleId="717">
    <w:name w:val="Subtitle"/>
    <w:basedOn w:val="872"/>
    <w:next w:val="872"/>
    <w:link w:val="718"/>
    <w:uiPriority w:val="11"/>
    <w:qFormat/>
    <w:pPr>
      <w:spacing w:before="200" w:after="200"/>
    </w:pPr>
    <w:rPr>
      <w:sz w:val="24"/>
      <w:szCs w:val="24"/>
    </w:rPr>
  </w:style>
  <w:style w:type="character" w:styleId="718">
    <w:name w:val="Subtitle Char"/>
    <w:basedOn w:val="874"/>
    <w:link w:val="717"/>
    <w:uiPriority w:val="11"/>
    <w:rPr>
      <w:sz w:val="24"/>
      <w:szCs w:val="24"/>
    </w:rPr>
  </w:style>
  <w:style w:type="paragraph" w:styleId="719">
    <w:name w:val="Quote"/>
    <w:basedOn w:val="872"/>
    <w:next w:val="872"/>
    <w:link w:val="720"/>
    <w:uiPriority w:val="29"/>
    <w:qFormat/>
    <w:pPr>
      <w:ind w:left="720" w:right="720"/>
    </w:pPr>
    <w:rPr>
      <w:i/>
    </w:rPr>
  </w:style>
  <w:style w:type="character" w:styleId="720">
    <w:name w:val="Quote Char"/>
    <w:link w:val="719"/>
    <w:uiPriority w:val="29"/>
    <w:rPr>
      <w:i/>
    </w:rPr>
  </w:style>
  <w:style w:type="paragraph" w:styleId="721">
    <w:name w:val="Intense Quote"/>
    <w:basedOn w:val="872"/>
    <w:next w:val="872"/>
    <w:link w:val="72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2">
    <w:name w:val="Intense Quote Char"/>
    <w:link w:val="721"/>
    <w:uiPriority w:val="30"/>
    <w:rPr>
      <w:i/>
    </w:rPr>
  </w:style>
  <w:style w:type="paragraph" w:styleId="723">
    <w:name w:val="Header"/>
    <w:basedOn w:val="872"/>
    <w:link w:val="72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4">
    <w:name w:val="Header Char"/>
    <w:basedOn w:val="874"/>
    <w:link w:val="723"/>
    <w:uiPriority w:val="99"/>
  </w:style>
  <w:style w:type="paragraph" w:styleId="725">
    <w:name w:val="Footer"/>
    <w:basedOn w:val="872"/>
    <w:link w:val="72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6">
    <w:name w:val="Footer Char"/>
    <w:basedOn w:val="874"/>
    <w:link w:val="725"/>
    <w:uiPriority w:val="99"/>
  </w:style>
  <w:style w:type="paragraph" w:styleId="727">
    <w:name w:val="Caption"/>
    <w:basedOn w:val="872"/>
    <w:next w:val="872"/>
    <w:link w:val="72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8">
    <w:name w:val="Caption Char"/>
    <w:basedOn w:val="874"/>
    <w:link w:val="727"/>
    <w:uiPriority w:val="35"/>
    <w:rPr>
      <w:b/>
      <w:bCs/>
      <w:color w:val="4f81bd" w:themeColor="accent1"/>
      <w:sz w:val="18"/>
      <w:szCs w:val="18"/>
    </w:rPr>
  </w:style>
  <w:style w:type="table" w:styleId="729">
    <w:name w:val="Table Grid"/>
    <w:basedOn w:val="87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0">
    <w:name w:val="Table Grid Light"/>
    <w:basedOn w:val="87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1">
    <w:name w:val="Plain Table 1"/>
    <w:basedOn w:val="87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2">
    <w:name w:val="Plain Table 2"/>
    <w:basedOn w:val="87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3">
    <w:name w:val="Plain Table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4">
    <w:name w:val="Plain Table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Plain Table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6">
    <w:name w:val="Grid Table 1 Light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4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8">
    <w:name w:val="Grid Table 4 - Accent 1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9">
    <w:name w:val="Grid Table 4 - Accent 2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0">
    <w:name w:val="Grid Table 4 - Accent 3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1">
    <w:name w:val="Grid Table 4 - Accent 4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2">
    <w:name w:val="Grid Table 4 - Accent 5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3">
    <w:name w:val="Grid Table 4 - Accent 6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4">
    <w:name w:val="Grid Table 5 Dark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5">
    <w:name w:val="Grid Table 5 Dark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66">
    <w:name w:val="Grid Table 5 Dark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7">
    <w:name w:val="Grid Table 5 Dark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8">
    <w:name w:val="Grid Table 5 Dark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9">
    <w:name w:val="Grid Table 5 Dark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70">
    <w:name w:val="Grid Table 5 Dark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71">
    <w:name w:val="Grid Table 6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2">
    <w:name w:val="Grid Table 6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3">
    <w:name w:val="Grid Table 6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4">
    <w:name w:val="Grid Table 6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5">
    <w:name w:val="Grid Table 6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6">
    <w:name w:val="Grid Table 6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7">
    <w:name w:val="Grid Table 6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8">
    <w:name w:val="Grid Table 7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3">
    <w:name w:val="List Table 2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4">
    <w:name w:val="List Table 2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5">
    <w:name w:val="List Table 2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6">
    <w:name w:val="List Table 2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7">
    <w:name w:val="List Table 2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8">
    <w:name w:val="List Table 2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9">
    <w:name w:val="List Table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5 Dark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5 Dark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6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1">
    <w:name w:val="List Table 6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2">
    <w:name w:val="List Table 6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3">
    <w:name w:val="List Table 6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4">
    <w:name w:val="List Table 6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5">
    <w:name w:val="List Table 6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6">
    <w:name w:val="List Table 6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7">
    <w:name w:val="List Table 7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8">
    <w:name w:val="List Table 7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9">
    <w:name w:val="List Table 7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30">
    <w:name w:val="List Table 7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31">
    <w:name w:val="List Table 7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32">
    <w:name w:val="List Table 7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33">
    <w:name w:val="List Table 7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34">
    <w:name w:val="Lined - Accent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5">
    <w:name w:val="Lined - Accent 1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6">
    <w:name w:val="Lined - Accent 2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7">
    <w:name w:val="Lined - Accent 3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8">
    <w:name w:val="Lined - Accent 4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9">
    <w:name w:val="Lined - Accent 5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0">
    <w:name w:val="Lined - Accent 6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1">
    <w:name w:val="Bordered &amp; Lined - Accent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2">
    <w:name w:val="Bordered &amp; Lined - Accent 1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3">
    <w:name w:val="Bordered &amp; Lined - Accent 2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4">
    <w:name w:val="Bordered &amp; Lined - Accent 3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5">
    <w:name w:val="Bordered &amp; Lined - Accent 4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6">
    <w:name w:val="Bordered &amp; Lined - Accent 5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7">
    <w:name w:val="Bordered &amp; Lined - Accent 6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8">
    <w:name w:val="Bordered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9">
    <w:name w:val="Bordered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0">
    <w:name w:val="Bordered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1">
    <w:name w:val="Bordered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2">
    <w:name w:val="Bordered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3">
    <w:name w:val="Bordered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4">
    <w:name w:val="Bordered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55">
    <w:name w:val="footnote text"/>
    <w:basedOn w:val="872"/>
    <w:link w:val="856"/>
    <w:uiPriority w:val="99"/>
    <w:semiHidden/>
    <w:unhideWhenUsed/>
    <w:pPr>
      <w:spacing w:after="40" w:line="240" w:lineRule="auto"/>
    </w:pPr>
    <w:rPr>
      <w:sz w:val="18"/>
    </w:rPr>
  </w:style>
  <w:style w:type="character" w:styleId="856">
    <w:name w:val="Footnote Text Char"/>
    <w:link w:val="855"/>
    <w:uiPriority w:val="99"/>
    <w:rPr>
      <w:sz w:val="18"/>
    </w:rPr>
  </w:style>
  <w:style w:type="character" w:styleId="857">
    <w:name w:val="footnote reference"/>
    <w:basedOn w:val="874"/>
    <w:uiPriority w:val="99"/>
    <w:unhideWhenUsed/>
    <w:rPr>
      <w:vertAlign w:val="superscript"/>
    </w:rPr>
  </w:style>
  <w:style w:type="paragraph" w:styleId="858">
    <w:name w:val="endnote text"/>
    <w:basedOn w:val="872"/>
    <w:link w:val="859"/>
    <w:uiPriority w:val="99"/>
    <w:semiHidden/>
    <w:unhideWhenUsed/>
    <w:pPr>
      <w:spacing w:after="0" w:line="240" w:lineRule="auto"/>
    </w:pPr>
    <w:rPr>
      <w:sz w:val="20"/>
    </w:rPr>
  </w:style>
  <w:style w:type="character" w:styleId="859">
    <w:name w:val="Endnote Text Char"/>
    <w:link w:val="858"/>
    <w:uiPriority w:val="99"/>
    <w:rPr>
      <w:sz w:val="20"/>
    </w:rPr>
  </w:style>
  <w:style w:type="character" w:styleId="860">
    <w:name w:val="endnote reference"/>
    <w:basedOn w:val="874"/>
    <w:uiPriority w:val="99"/>
    <w:semiHidden/>
    <w:unhideWhenUsed/>
    <w:rPr>
      <w:vertAlign w:val="superscript"/>
    </w:rPr>
  </w:style>
  <w:style w:type="paragraph" w:styleId="861">
    <w:name w:val="toc 1"/>
    <w:basedOn w:val="872"/>
    <w:next w:val="872"/>
    <w:uiPriority w:val="39"/>
    <w:unhideWhenUsed/>
    <w:pPr>
      <w:ind w:left="0" w:right="0" w:firstLine="0"/>
      <w:spacing w:after="57"/>
    </w:pPr>
  </w:style>
  <w:style w:type="paragraph" w:styleId="862">
    <w:name w:val="toc 2"/>
    <w:basedOn w:val="872"/>
    <w:next w:val="872"/>
    <w:uiPriority w:val="39"/>
    <w:unhideWhenUsed/>
    <w:pPr>
      <w:ind w:left="283" w:right="0" w:firstLine="0"/>
      <w:spacing w:after="57"/>
    </w:pPr>
  </w:style>
  <w:style w:type="paragraph" w:styleId="863">
    <w:name w:val="toc 3"/>
    <w:basedOn w:val="872"/>
    <w:next w:val="872"/>
    <w:uiPriority w:val="39"/>
    <w:unhideWhenUsed/>
    <w:pPr>
      <w:ind w:left="567" w:right="0" w:firstLine="0"/>
      <w:spacing w:after="57"/>
    </w:pPr>
  </w:style>
  <w:style w:type="paragraph" w:styleId="864">
    <w:name w:val="toc 4"/>
    <w:basedOn w:val="872"/>
    <w:next w:val="872"/>
    <w:uiPriority w:val="39"/>
    <w:unhideWhenUsed/>
    <w:pPr>
      <w:ind w:left="850" w:right="0" w:firstLine="0"/>
      <w:spacing w:after="57"/>
    </w:pPr>
  </w:style>
  <w:style w:type="paragraph" w:styleId="865">
    <w:name w:val="toc 5"/>
    <w:basedOn w:val="872"/>
    <w:next w:val="872"/>
    <w:uiPriority w:val="39"/>
    <w:unhideWhenUsed/>
    <w:pPr>
      <w:ind w:left="1134" w:right="0" w:firstLine="0"/>
      <w:spacing w:after="57"/>
    </w:pPr>
  </w:style>
  <w:style w:type="paragraph" w:styleId="866">
    <w:name w:val="toc 6"/>
    <w:basedOn w:val="872"/>
    <w:next w:val="872"/>
    <w:uiPriority w:val="39"/>
    <w:unhideWhenUsed/>
    <w:pPr>
      <w:ind w:left="1417" w:right="0" w:firstLine="0"/>
      <w:spacing w:after="57"/>
    </w:pPr>
  </w:style>
  <w:style w:type="paragraph" w:styleId="867">
    <w:name w:val="toc 7"/>
    <w:basedOn w:val="872"/>
    <w:next w:val="872"/>
    <w:uiPriority w:val="39"/>
    <w:unhideWhenUsed/>
    <w:pPr>
      <w:ind w:left="1701" w:right="0" w:firstLine="0"/>
      <w:spacing w:after="57"/>
    </w:pPr>
  </w:style>
  <w:style w:type="paragraph" w:styleId="868">
    <w:name w:val="toc 8"/>
    <w:basedOn w:val="872"/>
    <w:next w:val="872"/>
    <w:uiPriority w:val="39"/>
    <w:unhideWhenUsed/>
    <w:pPr>
      <w:ind w:left="1984" w:right="0" w:firstLine="0"/>
      <w:spacing w:after="57"/>
    </w:pPr>
  </w:style>
  <w:style w:type="paragraph" w:styleId="869">
    <w:name w:val="toc 9"/>
    <w:basedOn w:val="872"/>
    <w:next w:val="872"/>
    <w:uiPriority w:val="39"/>
    <w:unhideWhenUsed/>
    <w:pPr>
      <w:ind w:left="2268" w:right="0" w:firstLine="0"/>
      <w:spacing w:after="57"/>
    </w:pPr>
  </w:style>
  <w:style w:type="paragraph" w:styleId="870">
    <w:name w:val="TOC Heading"/>
    <w:uiPriority w:val="39"/>
    <w:unhideWhenUsed/>
  </w:style>
  <w:style w:type="paragraph" w:styleId="871">
    <w:name w:val="table of figures"/>
    <w:basedOn w:val="872"/>
    <w:next w:val="872"/>
    <w:uiPriority w:val="99"/>
    <w:unhideWhenUsed/>
    <w:pPr>
      <w:spacing w:after="0" w:afterAutospacing="0"/>
    </w:pPr>
  </w:style>
  <w:style w:type="paragraph" w:styleId="872" w:default="1">
    <w:name w:val="Normal"/>
    <w:qFormat/>
    <w:pPr>
      <w:spacing w:after="200" w:line="276" w:lineRule="auto"/>
    </w:pPr>
    <w:rPr>
      <w:rFonts w:cs="Calibri"/>
    </w:rPr>
  </w:style>
  <w:style w:type="paragraph" w:styleId="873">
    <w:name w:val="Heading 1"/>
    <w:basedOn w:val="872"/>
    <w:next w:val="872"/>
    <w:link w:val="877"/>
    <w:uiPriority w:val="99"/>
    <w:qFormat/>
    <w:pPr>
      <w:ind w:right="45"/>
      <w:keepNext/>
      <w:spacing w:after="0" w:line="240" w:lineRule="auto"/>
      <w:outlineLvl w:val="0"/>
    </w:pPr>
    <w:rPr>
      <w:rFonts w:cs="Times New Roman"/>
      <w:sz w:val="28"/>
      <w:szCs w:val="28"/>
    </w:rPr>
  </w:style>
  <w:style w:type="character" w:styleId="874" w:default="1">
    <w:name w:val="Default Paragraph Font"/>
    <w:uiPriority w:val="1"/>
    <w:semiHidden/>
    <w:unhideWhenUsed/>
  </w:style>
  <w:style w:type="table" w:styleId="87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6" w:default="1">
    <w:name w:val="No List"/>
    <w:uiPriority w:val="99"/>
    <w:semiHidden/>
    <w:unhideWhenUsed/>
  </w:style>
  <w:style w:type="character" w:styleId="877" w:customStyle="1">
    <w:name w:val="Заголовок 1 Знак"/>
    <w:basedOn w:val="874"/>
    <w:link w:val="873"/>
    <w:uiPriority w:val="99"/>
    <w:rPr>
      <w:rFonts w:ascii="Times New Roman" w:hAnsi="Times New Roman" w:cs="Times New Roman"/>
      <w:sz w:val="20"/>
      <w:szCs w:val="20"/>
    </w:rPr>
  </w:style>
  <w:style w:type="character" w:styleId="878">
    <w:name w:val="Hyperlink"/>
    <w:basedOn w:val="874"/>
    <w:uiPriority w:val="99"/>
    <w:rPr>
      <w:color w:val="0000ff"/>
      <w:u w:val="single"/>
    </w:rPr>
  </w:style>
  <w:style w:type="character" w:styleId="879" w:customStyle="1">
    <w:name w:val="Основной текст (3)_"/>
    <w:basedOn w:val="874"/>
    <w:link w:val="880"/>
    <w:uiPriority w:val="99"/>
    <w:rPr>
      <w:b/>
      <w:bCs/>
      <w:sz w:val="18"/>
      <w:szCs w:val="18"/>
      <w:shd w:val="clear" w:color="auto" w:fill="ffffff"/>
    </w:rPr>
  </w:style>
  <w:style w:type="paragraph" w:styleId="880" w:customStyle="1">
    <w:name w:val="Основной текст (3)1"/>
    <w:basedOn w:val="872"/>
    <w:link w:val="879"/>
    <w:uiPriority w:val="99"/>
    <w:pPr>
      <w:ind w:hanging="1460"/>
      <w:spacing w:before="180" w:after="180" w:line="221" w:lineRule="exact"/>
      <w:shd w:val="clear" w:color="auto" w:fill="ffffff"/>
    </w:pPr>
    <w:rPr>
      <w:b/>
      <w:bCs/>
      <w:sz w:val="18"/>
      <w:szCs w:val="18"/>
    </w:rPr>
  </w:style>
  <w:style w:type="paragraph" w:styleId="881">
    <w:name w:val="List Paragraph"/>
    <w:basedOn w:val="872"/>
    <w:link w:val="886"/>
    <w:uiPriority w:val="99"/>
    <w:qFormat/>
    <w:pPr>
      <w:ind w:left="720"/>
    </w:pPr>
  </w:style>
  <w:style w:type="paragraph" w:styleId="882">
    <w:name w:val="Balloon Text"/>
    <w:basedOn w:val="872"/>
    <w:link w:val="883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83" w:customStyle="1">
    <w:name w:val="Текст выноски Знак"/>
    <w:basedOn w:val="874"/>
    <w:link w:val="882"/>
    <w:uiPriority w:val="99"/>
    <w:semiHidden/>
    <w:rPr>
      <w:rFonts w:ascii="Tahoma" w:hAnsi="Tahoma" w:cs="Tahoma"/>
      <w:sz w:val="16"/>
      <w:szCs w:val="16"/>
    </w:rPr>
  </w:style>
  <w:style w:type="paragraph" w:styleId="884">
    <w:name w:val="Title"/>
    <w:basedOn w:val="872"/>
    <w:link w:val="885"/>
    <w:uiPriority w:val="99"/>
    <w:qFormat/>
    <w:pPr>
      <w:jc w:val="center"/>
      <w:spacing w:after="0" w:line="240" w:lineRule="auto"/>
    </w:pPr>
    <w:rPr>
      <w:rFonts w:ascii="Times New Roman" w:hAnsi="Times New Roman" w:cs="Times New Roman"/>
      <w:bCs/>
      <w:sz w:val="24"/>
      <w:szCs w:val="20"/>
    </w:rPr>
  </w:style>
  <w:style w:type="character" w:styleId="885" w:customStyle="1">
    <w:name w:val="Заголовок Знак"/>
    <w:basedOn w:val="874"/>
    <w:link w:val="884"/>
    <w:uiPriority w:val="99"/>
    <w:rPr>
      <w:rFonts w:ascii="Times New Roman" w:hAnsi="Times New Roman"/>
      <w:bCs/>
      <w:sz w:val="24"/>
      <w:szCs w:val="20"/>
    </w:rPr>
  </w:style>
  <w:style w:type="character" w:styleId="886" w:customStyle="1">
    <w:name w:val="Абзац списка Знак"/>
    <w:link w:val="881"/>
    <w:uiPriority w:val="99"/>
    <w:rPr>
      <w:rFonts w:cs="Calibri"/>
    </w:rPr>
  </w:style>
  <w:style w:type="table" w:styleId="887" w:customStyle="1">
    <w:name w:val="Table Normal"/>
    <w:uiPriority w:val="2"/>
    <w:semiHidden/>
    <w:unhideWhenUsed/>
    <w:qFormat/>
    <w:pPr>
      <w:widowControl w:val="off"/>
    </w:pPr>
    <w:rPr>
      <w:rFonts w:asciiTheme="minorHAnsi" w:hAnsiTheme="minorHAnsi" w:eastAsiaTheme="minorHAnsi" w:cstheme="minorBidi"/>
      <w:lang w:val="en-US" w:eastAsia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888" w:customStyle="1">
    <w:name w:val="Table Paragraph"/>
    <w:basedOn w:val="872"/>
    <w:uiPriority w:val="1"/>
    <w:qFormat/>
    <w:pPr>
      <w:ind w:left="55"/>
      <w:spacing w:before="41" w:after="0" w:line="240" w:lineRule="auto"/>
      <w:widowControl w:val="off"/>
    </w:pPr>
    <w:rPr>
      <w:rFonts w:ascii="Microsoft Sans Serif" w:hAnsi="Microsoft Sans Serif" w:eastAsia="Microsoft Sans Serif" w:cs="Microsoft Sans Serif"/>
      <w:lang w:eastAsia="en-US"/>
    </w:rPr>
  </w:style>
  <w:style w:type="table" w:styleId="889" w:customStyle="1">
    <w:name w:val="block-tbl 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hint="default"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en-US" w:eastAsia="en-US" w:bidi="ar-SA"/>
      <w14:ligatures w14:val="none"/>
    </w:rPr>
    <w:tblPr>
      <w:tblStyleRowBandSize w:val="1"/>
      <w:tblStyleColBandSize w:val="1"/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108" w:type="dxa"/>
        <w:top w:w="0" w:type="dxa"/>
        <w:right w:w="108" w:type="dxa"/>
        <w:bottom w:w="0" w:type="dxa"/>
      </w:tblCellMar>
    </w:tblPr>
    <w:trPr>
      <w:cantSplit w:val="false"/>
      <w:jc w:val="left"/>
    </w:trPr>
    <w:tcPr>
      <w:tcW w:w="0" w:type="auto"/>
      <w:vAlign w:val="top"/>
      <w:vMerge w:val="restart"/>
      <w:hMerge w:val="restart"/>
    </w:tc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www.torgi.gov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BA7839-5342-46B2-8182-2E4C981C9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cherepanova</dc:creator>
  <cp:lastModifiedBy>manueva</cp:lastModifiedBy>
  <cp:revision>32</cp:revision>
  <dcterms:created xsi:type="dcterms:W3CDTF">2025-10-07T08:18:00Z</dcterms:created>
  <dcterms:modified xsi:type="dcterms:W3CDTF">2026-04-13T05:03:25Z</dcterms:modified>
</cp:coreProperties>
</file>