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 повторном проведении аукциона в электронной форме на пр</w:t>
      </w:r>
      <w:r>
        <w:rPr>
          <w:b/>
          <w:bCs/>
          <w:sz w:val="26"/>
          <w:szCs w:val="26"/>
        </w:rPr>
        <w:t xml:space="preserve">аво заключения договора аренды </w:t>
      </w:r>
      <w:r>
        <w:rPr>
          <w:b/>
          <w:bCs/>
          <w:sz w:val="26"/>
          <w:szCs w:val="26"/>
        </w:rPr>
        <w:t xml:space="preserve">земельного участка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sz w:val="26"/>
          <w:szCs w:val="26"/>
        </w:rPr>
      </w:pPr>
      <w:r>
        <w:rPr>
          <w:bCs/>
          <w:sz w:val="26"/>
          <w:szCs w:val="26"/>
        </w:rPr>
        <w:t xml:space="preserve">(размещено на торговой</w:t>
      </w:r>
      <w:r>
        <w:rPr>
          <w:bCs/>
          <w:sz w:val="26"/>
          <w:szCs w:val="26"/>
        </w:rPr>
        <w:t xml:space="preserve"> электронной </w:t>
      </w:r>
      <w:r>
        <w:rPr>
          <w:bCs/>
          <w:sz w:val="26"/>
          <w:szCs w:val="26"/>
        </w:rPr>
        <w:t xml:space="preserve"> площадке  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0" w:tooltip="http://sberbank-ast.ru" w:history="1"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color w:val="auto"/>
            <w:sz w:val="26"/>
            <w:szCs w:val="26"/>
            <w:u w:val="none"/>
          </w:rPr>
          <w:t xml:space="preserve">.ru</w:t>
        </w:r>
      </w:hyperlink>
      <w:r>
        <w:rPr>
          <w:bCs/>
          <w:color w:val="1c1c1c"/>
          <w:sz w:val="26"/>
          <w:szCs w:val="26"/>
        </w:rPr>
        <w:t xml:space="preserve"> АО «Сбербанк-АСТ»)</w:t>
      </w:r>
      <w:r>
        <w:rPr>
          <w:rStyle w:val="868"/>
          <w:color w:val="auto"/>
          <w:sz w:val="26"/>
          <w:szCs w:val="26"/>
          <w:u w:val="none"/>
        </w:rPr>
        <w:t xml:space="preserve"> и  на</w:t>
      </w:r>
      <w:r>
        <w:rPr>
          <w:rStyle w:val="868"/>
          <w:color w:val="0070c0"/>
          <w:sz w:val="26"/>
          <w:szCs w:val="26"/>
          <w:u w:val="none"/>
        </w:rPr>
        <w:t xml:space="preserve"> </w:t>
      </w:r>
      <w:r>
        <w:rPr>
          <w:bCs/>
          <w:sz w:val="26"/>
          <w:szCs w:val="26"/>
        </w:rPr>
        <w:t xml:space="preserve">сайтах  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 </w:t>
      </w:r>
      <w:r>
        <w:rPr>
          <w:color w:val="000000"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www.irkfi. </w:t>
      </w:r>
      <w:r>
        <w:rPr>
          <w:bCs/>
          <w:sz w:val="26"/>
          <w:szCs w:val="26"/>
        </w:rPr>
        <w:t xml:space="preserve">ru</w:t>
      </w:r>
      <w:r>
        <w:rPr>
          <w:bCs/>
          <w:sz w:val="26"/>
          <w:szCs w:val="26"/>
        </w:rPr>
        <w:t xml:space="preserve">, www.mio.irkobl.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6"/>
        <w:numPr>
          <w:ilvl w:val="0"/>
          <w:numId w:val="12"/>
        </w:numPr>
        <w:ind w:left="0"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Уполномоченный орган, решение о проведении аукциона, организатор аукциона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86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основании распоряжени</w:t>
      </w:r>
      <w:r>
        <w:rPr>
          <w:sz w:val="26"/>
          <w:szCs w:val="26"/>
        </w:rPr>
        <w:t xml:space="preserve">я</w:t>
      </w:r>
      <w:r>
        <w:rPr>
          <w:sz w:val="26"/>
          <w:szCs w:val="26"/>
        </w:rPr>
        <w:t xml:space="preserve"> Правительства Иркутской области от </w:t>
      </w:r>
      <w:r>
        <w:rPr>
          <w:sz w:val="26"/>
          <w:szCs w:val="26"/>
        </w:rPr>
        <w:t xml:space="preserve">04.09.2025 № 398-рп</w:t>
      </w:r>
      <w:r>
        <w:rPr>
          <w:sz w:val="26"/>
          <w:szCs w:val="26"/>
        </w:rPr>
        <w:t xml:space="preserve"> «О проведении аукцион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на право заключения договор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аренды земельного</w:t>
      </w:r>
      <w:r>
        <w:rPr>
          <w:sz w:val="26"/>
          <w:szCs w:val="26"/>
        </w:rPr>
        <w:t xml:space="preserve"> участка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письма</w:t>
      </w:r>
      <w:r>
        <w:rPr>
          <w:sz w:val="26"/>
          <w:szCs w:val="26"/>
        </w:rPr>
        <w:t xml:space="preserve"> министерства имущественных отношений Иркутской области от 25.02.2026 № 02-51-2019/26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областное государственное казенное учреждение «Фонд имущества Иркутской области»</w:t>
      </w:r>
      <w:r>
        <w:rPr>
          <w:sz w:val="26"/>
          <w:szCs w:val="26"/>
        </w:rPr>
        <w:t xml:space="preserve"> (далее - организатор аукциона)</w:t>
      </w:r>
      <w:r>
        <w:rPr>
          <w:sz w:val="26"/>
          <w:szCs w:val="26"/>
        </w:rPr>
        <w:t xml:space="preserve"> повторно подготови</w:t>
      </w:r>
      <w:r>
        <w:rPr>
          <w:sz w:val="26"/>
          <w:szCs w:val="26"/>
        </w:rPr>
        <w:t xml:space="preserve">ло </w:t>
      </w:r>
      <w:r>
        <w:rPr>
          <w:sz w:val="26"/>
          <w:szCs w:val="26"/>
        </w:rPr>
        <w:t xml:space="preserve">аукцион в электронной форме </w:t>
      </w:r>
      <w:r>
        <w:rPr>
          <w:sz w:val="26"/>
          <w:szCs w:val="26"/>
        </w:rPr>
        <w:t xml:space="preserve">на право заключения договора аренды земельного участка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является открытым </w:t>
      </w:r>
      <w:r>
        <w:rPr>
          <w:color w:val="000000"/>
          <w:sz w:val="26"/>
          <w:szCs w:val="26"/>
        </w:rPr>
        <w:t xml:space="preserve">по составу участников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1"/>
        <w:ind w:firstLine="539"/>
        <w:spacing w:after="0"/>
      </w:pPr>
      <w:r>
        <w:rPr>
          <w:sz w:val="26"/>
          <w:szCs w:val="26"/>
        </w:rPr>
      </w:r>
      <w:r>
        <w:rPr>
          <w:sz w:val="26"/>
          <w:szCs w:val="26"/>
          <w:lang w:val="ru-RU"/>
        </w:rPr>
        <w:t xml:space="preserve">Согласно</w:t>
      </w: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 xml:space="preserve">пункту 10 статьи 39.11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Земельного кодекса РФ участниками аукциона могут являться только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граждане (Извещение от 10</w:t>
      </w:r>
      <w:r>
        <w:rPr>
          <w:sz w:val="26"/>
          <w:szCs w:val="26"/>
        </w:rPr>
        <w:t xml:space="preserve">.04.2025 № 21000019000000000538).</w:t>
      </w:r>
      <w:r/>
      <w:r>
        <w:rPr>
          <w:sz w:val="26"/>
          <w:szCs w:val="26"/>
        </w:rPr>
        <w:t xml:space="preserve"> Участниками аукциона, проводимого в случае, предусмотренном пунктом 7 статьи 39.18 настоящего Земельного Кодекса РФ, могут являться только граждане.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 участию в электронном аукционе допускаются физические лица,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ru-RU"/>
        </w:rPr>
      </w:r>
      <w:r/>
    </w:p>
    <w:p>
      <w:pPr>
        <w:pStyle w:val="861"/>
        <w:ind w:firstLine="539"/>
        <w:spacing w:after="0"/>
        <w:rPr>
          <w:sz w:val="26"/>
          <w:szCs w:val="26"/>
        </w:rPr>
      </w:pPr>
      <w:r>
        <w:rPr>
          <w:sz w:val="26"/>
          <w:szCs w:val="26"/>
        </w:rPr>
      </w:r>
      <w:r>
        <w:rPr>
          <w:b/>
          <w:bCs/>
          <w:color w:val="1c1c1c"/>
          <w:sz w:val="26"/>
          <w:szCs w:val="26"/>
        </w:rPr>
        <w:t xml:space="preserve">Н</w:t>
      </w:r>
      <w:r>
        <w:rPr>
          <w:b/>
          <w:bCs/>
          <w:color w:val="1c1c1c"/>
          <w:sz w:val="26"/>
          <w:szCs w:val="26"/>
        </w:rPr>
        <w:t xml:space="preserve">аименование электронной площадки</w:t>
      </w:r>
      <w:r>
        <w:rPr>
          <w:b/>
          <w:bCs/>
          <w:color w:val="1c1c1c"/>
          <w:sz w:val="26"/>
          <w:szCs w:val="26"/>
        </w:rPr>
        <w:t xml:space="preserve">,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/>
          <w:bCs/>
          <w:color w:val="1c1c1c"/>
          <w:sz w:val="26"/>
          <w:szCs w:val="26"/>
        </w:rPr>
        <w:t xml:space="preserve">место приема заявок, </w:t>
      </w:r>
      <w:r>
        <w:rPr>
          <w:b/>
          <w:bCs/>
          <w:color w:val="1c1c1c"/>
          <w:sz w:val="26"/>
          <w:szCs w:val="26"/>
        </w:rPr>
        <w:t xml:space="preserve">адрес, телефон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1"/>
        <w:ind w:firstLine="567"/>
        <w:spacing w:after="0"/>
        <w:rPr>
          <w:b/>
          <w:bCs/>
          <w:color w:val="1c1c1c"/>
          <w:sz w:val="26"/>
          <w:szCs w:val="26"/>
        </w:rPr>
      </w:pPr>
      <w:r>
        <w:rPr>
          <w:rFonts w:eastAsia="Calibri"/>
          <w:sz w:val="26"/>
          <w:szCs w:val="26"/>
        </w:rPr>
        <w:t xml:space="preserve">Оператор электронной площадки – юридическое лицо, зарегистрированное н</w:t>
      </w:r>
      <w:r>
        <w:rPr>
          <w:rFonts w:eastAsia="Calibri"/>
          <w:sz w:val="26"/>
          <w:szCs w:val="26"/>
        </w:rPr>
        <w:t xml:space="preserve">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её функционирование и включенное в перечень операторов электронных площадок, утвержденных</w:t>
      </w:r>
      <w:r>
        <w:rPr>
          <w:rFonts w:eastAsia="Calibri"/>
          <w:sz w:val="26"/>
          <w:szCs w:val="26"/>
        </w:rPr>
        <w:t xml:space="preserve"> Распоряжением Правительства Российской Федерации от 12.07.2018 №1447-р «Об утверждении перечней операторов электронных площадок и специализированных электронных площадок, предусмотренных Федеральными законами от  05.04.2013 №44-ФЗ, от 18.07.2011 №223-ФЗ».</w:t>
      </w:r>
      <w:r>
        <w:rPr>
          <w:b/>
          <w:bCs/>
          <w:color w:val="1c1c1c"/>
          <w:sz w:val="26"/>
          <w:szCs w:val="26"/>
        </w:rPr>
      </w:r>
      <w:r>
        <w:rPr>
          <w:b/>
          <w:bCs/>
          <w:color w:val="1c1c1c"/>
          <w:sz w:val="26"/>
          <w:szCs w:val="26"/>
        </w:rPr>
      </w:r>
    </w:p>
    <w:p>
      <w:pPr>
        <w:pStyle w:val="861"/>
        <w:numPr>
          <w:ilvl w:val="0"/>
          <w:numId w:val="14"/>
        </w:numPr>
        <w:ind w:left="0" w:firstLine="709"/>
        <w:spacing w:after="0"/>
        <w:rPr>
          <w:bCs/>
          <w:color w:val="1c1c1c"/>
          <w:sz w:val="26"/>
          <w:szCs w:val="26"/>
        </w:rPr>
      </w:pPr>
      <w:r>
        <w:rPr>
          <w:bCs/>
          <w:color w:val="1c1c1c"/>
          <w:sz w:val="26"/>
          <w:szCs w:val="26"/>
        </w:rPr>
        <w:t xml:space="preserve">Наименование: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Cs/>
          <w:color w:val="1c1c1c"/>
          <w:sz w:val="26"/>
          <w:szCs w:val="26"/>
        </w:rPr>
        <w:t xml:space="preserve">Акционерное общество «Сбербанк – Автоматизированная система торгов» (далее АО «Сбербанк-АСТ»)</w:t>
      </w:r>
      <w:r>
        <w:rPr>
          <w:bCs/>
          <w:color w:val="1c1c1c"/>
          <w:sz w:val="26"/>
          <w:szCs w:val="26"/>
        </w:rPr>
      </w:r>
      <w:r>
        <w:rPr>
          <w:bCs/>
          <w:color w:val="1c1c1c"/>
          <w:sz w:val="26"/>
          <w:szCs w:val="26"/>
        </w:rPr>
      </w:r>
    </w:p>
    <w:p>
      <w:pPr>
        <w:pStyle w:val="886"/>
        <w:numPr>
          <w:ilvl w:val="0"/>
          <w:numId w:val="14"/>
        </w:numPr>
        <w:ind w:left="0" w:firstLine="709"/>
        <w:jc w:val="both"/>
        <w:spacing w:line="200" w:lineRule="atLeast"/>
        <w:rPr>
          <w:rStyle w:val="868"/>
          <w:rFonts w:eastAsia="Calibri"/>
          <w:color w:val="auto"/>
          <w:sz w:val="26"/>
          <w:szCs w:val="26"/>
          <w:u w:val="none"/>
        </w:rPr>
      </w:pPr>
      <w:r>
        <w:rPr>
          <w:rFonts w:eastAsia="Calibri"/>
          <w:sz w:val="26"/>
          <w:szCs w:val="26"/>
        </w:rPr>
        <w:t xml:space="preserve">Место подачи (приема) заявок: электронная площадка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1" w:tooltip="http://sberbank-ast.ru" w:history="1">
        <w:r>
          <w:rPr>
            <w:rStyle w:val="868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b/>
            <w:color w:val="auto"/>
            <w:sz w:val="26"/>
            <w:szCs w:val="26"/>
            <w:u w:val="none"/>
          </w:rPr>
          <w:t xml:space="preserve">.</w:t>
        </w:r>
        <w:r>
          <w:rPr>
            <w:rStyle w:val="868"/>
            <w:b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68"/>
          <w:rFonts w:eastAsia="Calibri"/>
          <w:color w:val="auto"/>
          <w:sz w:val="26"/>
          <w:szCs w:val="26"/>
          <w:u w:val="none"/>
        </w:rPr>
      </w:r>
      <w:r>
        <w:rPr>
          <w:rStyle w:val="868"/>
          <w:rFonts w:eastAsia="Calibri"/>
          <w:color w:val="auto"/>
          <w:sz w:val="26"/>
          <w:szCs w:val="26"/>
          <w:u w:val="none"/>
        </w:rPr>
      </w:r>
    </w:p>
    <w:p>
      <w:pPr>
        <w:pStyle w:val="886"/>
        <w:numPr>
          <w:ilvl w:val="0"/>
          <w:numId w:val="14"/>
        </w:numPr>
        <w:ind w:left="-142" w:firstLine="851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Адрес (место нахождение): 119435, г. Москва, Большой Саввинский переулок, дом 12, </w:t>
      </w:r>
      <w:r>
        <w:rPr>
          <w:rFonts w:eastAsia="Calibri"/>
          <w:sz w:val="26"/>
          <w:szCs w:val="26"/>
        </w:rPr>
        <w:t xml:space="preserve">стр.,</w:t>
      </w:r>
      <w:r>
        <w:rPr>
          <w:rFonts w:eastAsia="Calibri"/>
          <w:sz w:val="26"/>
          <w:szCs w:val="26"/>
        </w:rPr>
        <w:t xml:space="preserve"> эт.1, пом. 1, комн.2. 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886"/>
        <w:ind w:left="0"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Адрес электронной почты: </w:t>
      </w:r>
      <w:hyperlink r:id="rId12" w:tooltip="mailto:info@sberbank-ast.ru" w:history="1">
        <w:r>
          <w:rPr>
            <w:rStyle w:val="868"/>
            <w:rFonts w:eastAsia="Calibri"/>
            <w:sz w:val="26"/>
            <w:szCs w:val="26"/>
            <w:lang w:val="en-US"/>
          </w:rPr>
          <w:t xml:space="preserve">info</w:t>
        </w:r>
        <w:r>
          <w:rPr>
            <w:rStyle w:val="868"/>
            <w:rFonts w:eastAsia="Calibri"/>
            <w:sz w:val="26"/>
            <w:szCs w:val="26"/>
          </w:rPr>
          <w:t xml:space="preserve">@</w:t>
        </w:r>
        <w:r>
          <w:rPr>
            <w:rStyle w:val="868"/>
            <w:rFonts w:eastAsia="Calibri"/>
            <w:sz w:val="26"/>
            <w:szCs w:val="26"/>
            <w:lang w:val="en-US"/>
          </w:rPr>
          <w:t xml:space="preserve">sberbank</w:t>
        </w:r>
        <w:r>
          <w:rPr>
            <w:rStyle w:val="868"/>
            <w:rFonts w:eastAsia="Calibri"/>
            <w:sz w:val="26"/>
            <w:szCs w:val="26"/>
          </w:rPr>
          <w:t xml:space="preserve">-</w:t>
        </w:r>
        <w:r>
          <w:rPr>
            <w:rStyle w:val="868"/>
            <w:rFonts w:eastAsia="Calibri"/>
            <w:sz w:val="26"/>
            <w:szCs w:val="26"/>
            <w:lang w:val="en-US"/>
          </w:rPr>
          <w:t xml:space="preserve">ast</w:t>
        </w:r>
        <w:r>
          <w:rPr>
            <w:rStyle w:val="868"/>
            <w:rFonts w:eastAsia="Calibri"/>
            <w:sz w:val="26"/>
            <w:szCs w:val="26"/>
          </w:rPr>
          <w:t xml:space="preserve">.</w:t>
        </w:r>
        <w:r>
          <w:rPr>
            <w:rStyle w:val="868"/>
            <w:rFonts w:eastAsia="Calibri"/>
            <w:sz w:val="26"/>
            <w:szCs w:val="26"/>
            <w:lang w:val="en-US"/>
          </w:rPr>
          <w:t xml:space="preserve">ru</w:t>
        </w:r>
      </w:hyperlink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8"/>
        <w:rPr>
          <w:rFonts w:eastAsiaTheme="minorEastAsia"/>
          <w:sz w:val="26"/>
          <w:szCs w:val="26"/>
        </w:rPr>
      </w:pPr>
      <w:r>
        <w:rPr>
          <w:rFonts w:eastAsia="Calibri"/>
          <w:sz w:val="26"/>
          <w:szCs w:val="26"/>
        </w:rPr>
        <w:t xml:space="preserve">Телефон: </w:t>
      </w:r>
      <w:r>
        <w:rPr>
          <w:rFonts w:eastAsiaTheme="minorEastAsia"/>
          <w:sz w:val="26"/>
          <w:szCs w:val="26"/>
        </w:rPr>
        <w:t xml:space="preserve">+7 (495) 787-29-97, +7 (495) 787-29-99, +7 (495) 539-59-21, доб. «29»</w:t>
      </w:r>
      <w:r>
        <w:rPr>
          <w:rFonts w:eastAsiaTheme="minorEastAsia"/>
          <w:sz w:val="26"/>
          <w:szCs w:val="26"/>
        </w:rPr>
      </w:r>
      <w:r>
        <w:rPr>
          <w:rFonts w:eastAsiaTheme="minorEastAsia"/>
          <w:sz w:val="26"/>
          <w:szCs w:val="26"/>
        </w:rPr>
      </w:r>
    </w:p>
    <w:p>
      <w:pPr>
        <w:pStyle w:val="861"/>
        <w:numPr>
          <w:ilvl w:val="0"/>
          <w:numId w:val="12"/>
        </w:numPr>
        <w:ind w:left="0" w:firstLine="709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Сроки подачи (приема) заявок, определения участников и проведения</w:t>
      </w:r>
      <w:r>
        <w:rPr>
          <w:b/>
          <w:bCs/>
          <w:sz w:val="26"/>
          <w:szCs w:val="26"/>
        </w:rPr>
        <w:t xml:space="preserve"> электронного аукциона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1</w:t>
      </w:r>
      <w:r>
        <w:rPr>
          <w:rFonts w:eastAsia="Calibri"/>
          <w:sz w:val="26"/>
          <w:szCs w:val="26"/>
        </w:rPr>
        <w:t xml:space="preserve">) Дата и время начала подачи (приема) заявок: </w:t>
      </w:r>
      <w:r>
        <w:rPr>
          <w:rFonts w:eastAsia="Calibri"/>
          <w:b/>
          <w:bCs/>
          <w:sz w:val="26"/>
          <w:szCs w:val="26"/>
        </w:rPr>
        <w:t xml:space="preserve">05.03.</w:t>
      </w:r>
      <w:r>
        <w:rPr>
          <w:rFonts w:eastAsia="Calibri"/>
          <w:b/>
          <w:bCs/>
          <w:sz w:val="26"/>
          <w:szCs w:val="26"/>
        </w:rPr>
        <w:t xml:space="preserve">2</w:t>
      </w:r>
      <w:r>
        <w:rPr>
          <w:rFonts w:eastAsia="Calibri"/>
          <w:b/>
          <w:bCs/>
          <w:sz w:val="26"/>
          <w:szCs w:val="26"/>
        </w:rPr>
        <w:t xml:space="preserve">026</w:t>
      </w:r>
      <w:r>
        <w:rPr>
          <w:b/>
          <w:sz w:val="26"/>
          <w:szCs w:val="26"/>
        </w:rPr>
        <w:t xml:space="preserve"> года </w:t>
      </w:r>
      <w:r>
        <w:rPr>
          <w:b/>
          <w:sz w:val="26"/>
          <w:szCs w:val="26"/>
        </w:rPr>
        <w:t xml:space="preserve">в </w:t>
      </w:r>
      <w:r>
        <w:rPr>
          <w:b/>
          <w:sz w:val="26"/>
          <w:szCs w:val="26"/>
        </w:rPr>
        <w:t xml:space="preserve">10</w:t>
      </w:r>
      <w:r>
        <w:rPr>
          <w:b/>
          <w:sz w:val="26"/>
          <w:szCs w:val="26"/>
        </w:rPr>
        <w:t xml:space="preserve"> час. 00 мин. </w:t>
      </w:r>
      <w:r>
        <w:rPr>
          <w:rFonts w:eastAsia="Calibri"/>
          <w:sz w:val="26"/>
          <w:szCs w:val="26"/>
        </w:rPr>
        <w:t xml:space="preserve">по местному времени. </w:t>
      </w:r>
      <w:r>
        <w:rPr>
          <w:rFonts w:eastAsia="Calibri"/>
          <w:sz w:val="26"/>
          <w:szCs w:val="26"/>
        </w:rPr>
        <w:t xml:space="preserve">Подача заявок осуществляется круглосуточно.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2</w:t>
      </w:r>
      <w:r>
        <w:rPr>
          <w:rFonts w:eastAsia="Calibri"/>
          <w:sz w:val="26"/>
          <w:szCs w:val="26"/>
        </w:rPr>
        <w:t xml:space="preserve">) Дата и время окончания подачи (приема) заявок:</w:t>
      </w:r>
      <w:r>
        <w:rPr>
          <w:rFonts w:eastAsia="Calibri"/>
          <w:b/>
          <w:bCs/>
          <w:sz w:val="26"/>
          <w:szCs w:val="26"/>
        </w:rPr>
        <w:t xml:space="preserve"> 07.04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  <w:t xml:space="preserve">2026</w:t>
      </w:r>
      <w:r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 xml:space="preserve">года</w:t>
      </w:r>
      <w:r>
        <w:rPr>
          <w:rFonts w:eastAsia="Calibri"/>
          <w:b/>
          <w:sz w:val="26"/>
          <w:szCs w:val="26"/>
        </w:rPr>
        <w:t xml:space="preserve"> в </w:t>
      </w:r>
      <w:r>
        <w:rPr>
          <w:rFonts w:eastAsia="Calibri"/>
          <w:b/>
          <w:sz w:val="26"/>
          <w:szCs w:val="26"/>
        </w:rPr>
        <w:t xml:space="preserve">10</w:t>
      </w:r>
      <w:r>
        <w:rPr>
          <w:rFonts w:eastAsia="Calibri"/>
          <w:b/>
          <w:sz w:val="26"/>
          <w:szCs w:val="26"/>
        </w:rPr>
        <w:t xml:space="preserve"> час. 00 мин.</w:t>
      </w:r>
      <w:r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по местному времени.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b/>
          <w:sz w:val="26"/>
          <w:szCs w:val="26"/>
        </w:rPr>
      </w:pPr>
      <w:r>
        <w:rPr>
          <w:rFonts w:eastAsia="Calibri"/>
          <w:sz w:val="26"/>
          <w:szCs w:val="26"/>
        </w:rPr>
        <w:t xml:space="preserve">3</w:t>
      </w:r>
      <w:r>
        <w:rPr>
          <w:rFonts w:eastAsia="Calibri"/>
          <w:sz w:val="26"/>
          <w:szCs w:val="26"/>
        </w:rPr>
        <w:t xml:space="preserve">) Дата рассмотрения заявок:</w:t>
      </w:r>
      <w:r>
        <w:rPr>
          <w:rFonts w:eastAsia="Calibri"/>
          <w:b/>
          <w:bCs/>
          <w:sz w:val="26"/>
          <w:szCs w:val="26"/>
        </w:rPr>
        <w:t xml:space="preserve"> 08.04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  <w:t xml:space="preserve">2026</w:t>
      </w:r>
      <w:r>
        <w:rPr>
          <w:rFonts w:eastAsia="Calibri"/>
          <w:b/>
          <w:sz w:val="26"/>
          <w:szCs w:val="26"/>
        </w:rPr>
        <w:t xml:space="preserve"> года</w:t>
      </w:r>
      <w:r>
        <w:rPr>
          <w:rFonts w:eastAsia="Calibri"/>
          <w:b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4</w:t>
      </w:r>
      <w:r>
        <w:rPr>
          <w:rFonts w:eastAsia="Calibri"/>
          <w:sz w:val="26"/>
          <w:szCs w:val="26"/>
        </w:rPr>
        <w:t xml:space="preserve">) Дата и время начала проведения </w:t>
      </w:r>
      <w:r>
        <w:rPr>
          <w:rFonts w:eastAsia="Calibri"/>
          <w:sz w:val="26"/>
          <w:szCs w:val="26"/>
        </w:rPr>
        <w:t xml:space="preserve">электронного </w:t>
      </w:r>
      <w:r>
        <w:rPr>
          <w:rFonts w:eastAsia="Calibri"/>
          <w:sz w:val="26"/>
          <w:szCs w:val="26"/>
        </w:rPr>
        <w:t xml:space="preserve">аукциона: </w:t>
      </w:r>
      <w:r>
        <w:rPr>
          <w:rFonts w:eastAsia="Calibri"/>
          <w:b/>
          <w:bCs/>
          <w:sz w:val="26"/>
          <w:szCs w:val="26"/>
        </w:rPr>
        <w:t xml:space="preserve">09.04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bCs/>
          <w:sz w:val="26"/>
          <w:szCs w:val="26"/>
        </w:rPr>
        <w:t xml:space="preserve">2026</w:t>
      </w:r>
      <w:r>
        <w:rPr>
          <w:rFonts w:eastAsia="Calibri"/>
          <w:b/>
          <w:bCs/>
          <w:sz w:val="26"/>
          <w:szCs w:val="26"/>
        </w:rPr>
        <w:t xml:space="preserve"> го</w:t>
      </w:r>
      <w:r>
        <w:rPr>
          <w:rFonts w:eastAsia="Calibri"/>
          <w:b/>
          <w:sz w:val="26"/>
          <w:szCs w:val="26"/>
        </w:rPr>
        <w:t xml:space="preserve">да</w:t>
      </w:r>
      <w:r>
        <w:rPr>
          <w:rFonts w:eastAsia="Calibri"/>
          <w:sz w:val="26"/>
          <w:szCs w:val="26"/>
        </w:rPr>
        <w:t xml:space="preserve"> в </w:t>
      </w:r>
      <w:r>
        <w:rPr>
          <w:rFonts w:eastAsia="Calibri"/>
          <w:b/>
          <w:bCs/>
          <w:sz w:val="26"/>
          <w:szCs w:val="26"/>
        </w:rPr>
        <w:t xml:space="preserve">09</w:t>
      </w:r>
      <w:r>
        <w:rPr>
          <w:rFonts w:eastAsia="Calibri"/>
          <w:b/>
          <w:bCs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 xml:space="preserve">час. </w:t>
      </w:r>
      <w:r>
        <w:rPr>
          <w:rFonts w:eastAsia="Calibri"/>
          <w:b/>
          <w:sz w:val="26"/>
          <w:szCs w:val="26"/>
        </w:rPr>
        <w:t xml:space="preserve">00</w:t>
      </w:r>
      <w:r>
        <w:rPr>
          <w:rFonts w:eastAsia="Calibri"/>
          <w:b/>
          <w:sz w:val="26"/>
          <w:szCs w:val="26"/>
        </w:rPr>
        <w:t xml:space="preserve"> мин.</w:t>
      </w:r>
      <w:r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по местному времени</w:t>
      </w:r>
      <w:r>
        <w:rPr>
          <w:rFonts w:eastAsia="Calibri"/>
          <w:sz w:val="26"/>
          <w:szCs w:val="26"/>
        </w:rPr>
        <w:t xml:space="preserve"> до последнего предложения участников.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859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numPr>
          <w:ilvl w:val="0"/>
          <w:numId w:val="12"/>
        </w:num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Предмет аукциона</w:t>
      </w:r>
      <w:r>
        <w:rPr>
          <w:sz w:val="26"/>
          <w:szCs w:val="26"/>
        </w:rPr>
        <w:t xml:space="preserve"> право заключения договор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аренды земельн</w:t>
      </w:r>
      <w:r>
        <w:rPr>
          <w:sz w:val="26"/>
          <w:szCs w:val="26"/>
        </w:rPr>
        <w:t xml:space="preserve">ого</w:t>
      </w:r>
      <w:r>
        <w:rPr>
          <w:sz w:val="26"/>
          <w:szCs w:val="26"/>
        </w:rPr>
        <w:t xml:space="preserve"> участк</w:t>
      </w:r>
      <w:r>
        <w:rPr>
          <w:sz w:val="26"/>
          <w:szCs w:val="26"/>
        </w:rPr>
        <w:t xml:space="preserve">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</w:pPr>
      <w:r>
        <w:rPr>
          <w:b/>
          <w:sz w:val="26"/>
          <w:szCs w:val="26"/>
        </w:rPr>
        <w:t xml:space="preserve">Характеристика земельного участка: </w:t>
      </w:r>
      <w:r>
        <w:rPr>
          <w:sz w:val="26"/>
          <w:szCs w:val="26"/>
        </w:rPr>
        <w:t xml:space="preserve">земельный участок из земель населённых пунктов </w:t>
      </w:r>
      <w:r>
        <w:rPr>
          <w:sz w:val="26"/>
          <w:szCs w:val="26"/>
        </w:rPr>
        <w:t xml:space="preserve">площадью 2942 кв.м с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кадастровым номером </w:t>
      </w:r>
      <w:r>
        <w:rPr>
          <w:sz w:val="26"/>
          <w:szCs w:val="26"/>
        </w:rPr>
        <w:t xml:space="preserve">38:06:071001:709</w:t>
      </w:r>
      <w:r>
        <w:rPr>
          <w:sz w:val="26"/>
          <w:szCs w:val="26"/>
        </w:rPr>
        <w:t xml:space="preserve">, адрес: Российская Федерация, Иркутская область, Иркутский район</w:t>
      </w:r>
      <w:r>
        <w:rPr>
          <w:sz w:val="26"/>
          <w:szCs w:val="26"/>
        </w:rPr>
        <w:t xml:space="preserve">, Оекское сельское поселение, деревня Максимовщина.</w:t>
      </w:r>
      <w:r/>
    </w:p>
    <w:p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Право на земельный участок: </w:t>
      </w:r>
      <w:r>
        <w:rPr>
          <w:bCs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ab/>
        <w:t xml:space="preserve">Категория земель: </w:t>
      </w:r>
      <w:r>
        <w:rPr>
          <w:bCs/>
          <w:iCs/>
          <w:sz w:val="26"/>
          <w:szCs w:val="26"/>
        </w:rPr>
        <w:t xml:space="preserve">земли населённых пунктов.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sz w:val="26"/>
          <w:szCs w:val="26"/>
        </w:rPr>
        <w:t xml:space="preserve"> для индивидуального жилищного строительства.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>
        <w:rPr>
          <w:bCs/>
          <w:iCs/>
          <w:sz w:val="26"/>
          <w:szCs w:val="26"/>
        </w:rPr>
        <w:t xml:space="preserve">в</w:t>
      </w:r>
      <w:r>
        <w:rPr>
          <w:sz w:val="26"/>
          <w:szCs w:val="26"/>
        </w:rPr>
        <w:t xml:space="preserve"> соответствии с правилами землепользования и застройки </w:t>
      </w:r>
      <w:r>
        <w:rPr>
          <w:sz w:val="26"/>
          <w:szCs w:val="26"/>
        </w:rPr>
        <w:t xml:space="preserve">Оекского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муниципального образования земельный участок расположен в зоне застройки индивидуальными жилыми домами.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  <w:rPr>
          <w:b/>
          <w:iCs/>
          <w:sz w:val="26"/>
          <w:szCs w:val="26"/>
        </w:rPr>
      </w:pPr>
      <w:r>
        <w:rPr>
          <w:b/>
          <w:iCs/>
          <w:sz w:val="26"/>
          <w:szCs w:val="26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b/>
          <w:iCs/>
          <w:sz w:val="26"/>
          <w:szCs w:val="26"/>
        </w:rPr>
      </w:r>
      <w:r>
        <w:rPr>
          <w:b/>
          <w:iCs/>
          <w:sz w:val="26"/>
          <w:szCs w:val="26"/>
        </w:rPr>
      </w:r>
    </w:p>
    <w:p>
      <w:pPr>
        <w:ind w:firstLine="709"/>
        <w:jc w:val="both"/>
        <w:rPr>
          <w:sz w:val="26"/>
          <w:szCs w:val="26"/>
          <w:highlight w:val="none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Письмо АО «Иркутская электросетевая компания» </w:t>
      </w:r>
      <w:r>
        <w:rPr>
          <w:sz w:val="26"/>
          <w:szCs w:val="26"/>
        </w:rPr>
        <w:t xml:space="preserve">«О возможности технологического присоединения к сетям АО «ИЭСК»» от 18.04.2025 №ИЭСК-ИСХ-ИД-25-1564</w:t>
      </w:r>
      <w:r>
        <w:rPr>
          <w:sz w:val="26"/>
          <w:szCs w:val="26"/>
        </w:rPr>
        <w:t xml:space="preserve">.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ind w:firstLine="709"/>
        <w:jc w:val="both"/>
      </w:pPr>
      <w:r>
        <w:rPr>
          <w:sz w:val="26"/>
          <w:szCs w:val="26"/>
          <w:highlight w:val="none"/>
        </w:rPr>
        <w:t xml:space="preserve">По информации акционерного общества «Иркутская электросетевая </w:t>
      </w:r>
      <w:r>
        <w:rPr>
          <w:sz w:val="26"/>
          <w:szCs w:val="26"/>
          <w:highlight w:val="none"/>
        </w:rPr>
        <w:t xml:space="preserve">компания» (АО «ИЭСК») присоединение объекта к электрическим сетям </w:t>
      </w:r>
      <w:r>
        <w:rPr>
          <w:sz w:val="26"/>
          <w:szCs w:val="26"/>
          <w:highlight w:val="none"/>
        </w:rPr>
        <w:t xml:space="preserve">возможно путем создания распределительных сетей 0,4-6(10)кВ АО «ИЭСК»</w:t>
      </w:r>
      <w:r>
        <w:rPr>
          <w:sz w:val="26"/>
          <w:szCs w:val="26"/>
          <w:highlight w:val="none"/>
        </w:rPr>
        <w:t xml:space="preserve"> от ПС 35/10 Коты.</w:t>
      </w:r>
      <w:r>
        <w:rPr>
          <w:sz w:val="26"/>
          <w:szCs w:val="26"/>
          <w:highlight w:val="none"/>
        </w:rPr>
      </w:r>
      <w:r/>
    </w:p>
    <w:p>
      <w:pPr>
        <w:ind w:firstLine="709"/>
        <w:jc w:val="both"/>
        <w:tabs>
          <w:tab w:val="left" w:pos="567" w:leader="none"/>
        </w:tabs>
        <w:rPr>
          <w:sz w:val="26"/>
          <w:szCs w:val="26"/>
          <w:highlight w:val="none"/>
        </w:rPr>
      </w:pPr>
      <w:r>
        <w:rPr>
          <w:sz w:val="26"/>
          <w:szCs w:val="26"/>
        </w:rPr>
        <w:t xml:space="preserve">Окончательно точки присоединения электроустановок будут определены </w:t>
      </w:r>
      <w:r>
        <w:rPr>
          <w:sz w:val="26"/>
          <w:szCs w:val="26"/>
        </w:rPr>
        <w:t xml:space="preserve">после разработки технических условий к договору об осуществлении </w:t>
      </w:r>
      <w:r>
        <w:rPr>
          <w:sz w:val="26"/>
          <w:szCs w:val="26"/>
        </w:rPr>
        <w:t xml:space="preserve">технологического присоединения к электрическим сетям.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ind w:firstLine="709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  <w:highlight w:val="none"/>
        </w:rPr>
        <w:t xml:space="preserve">-</w:t>
      </w:r>
      <w:r>
        <w:rPr>
          <w:sz w:val="26"/>
          <w:szCs w:val="26"/>
          <w:highlight w:val="none"/>
        </w:rPr>
        <w:t xml:space="preserve">Письмо ООО «Южнобайкальское» от 10.04.2025 № 184/25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Сети централизованного водоснабжения и водоотведения отсутствуют.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  <w:rPr>
          <w:b w:val="0"/>
          <w:bCs w:val="0"/>
          <w:sz w:val="26"/>
          <w:szCs w:val="26"/>
          <w:highlight w:val="none"/>
        </w:rPr>
      </w:pPr>
      <w:r>
        <w:rPr>
          <w:b/>
          <w:sz w:val="26"/>
          <w:szCs w:val="26"/>
        </w:rPr>
        <w:t xml:space="preserve">Дополнительная </w:t>
      </w:r>
      <w:r>
        <w:rPr>
          <w:b/>
          <w:sz w:val="26"/>
          <w:szCs w:val="26"/>
        </w:rPr>
        <w:t xml:space="preserve">информация: </w:t>
      </w:r>
      <w:r>
        <w:rPr>
          <w:b w:val="0"/>
          <w:bCs w:val="0"/>
          <w:sz w:val="26"/>
          <w:szCs w:val="26"/>
        </w:rPr>
        <w:t xml:space="preserve">Требуется организация подъездных путей к земельному участку.</w:t>
      </w:r>
      <w:r>
        <w:rPr>
          <w:b w:val="0"/>
          <w:bCs w:val="0"/>
          <w:sz w:val="26"/>
          <w:szCs w:val="26"/>
          <w:highlight w:val="none"/>
        </w:rPr>
      </w:r>
      <w:r>
        <w:rPr>
          <w:b w:val="0"/>
          <w:bCs w:val="0"/>
          <w:sz w:val="26"/>
          <w:szCs w:val="26"/>
          <w:highlight w:val="none"/>
        </w:rPr>
      </w:r>
    </w:p>
    <w:p>
      <w:pPr>
        <w:ind w:firstLine="709"/>
        <w:jc w:val="both"/>
        <w:tabs>
          <w:tab w:val="left" w:pos="567" w:leader="none"/>
        </w:tabs>
        <w:rPr>
          <w:b w:val="0"/>
          <w:bCs w:val="0"/>
          <w:sz w:val="26"/>
          <w:szCs w:val="26"/>
          <w:highlight w:val="none"/>
        </w:rPr>
      </w:pPr>
      <w:r>
        <w:rPr>
          <w:b w:val="0"/>
          <w:bCs w:val="0"/>
          <w:sz w:val="26"/>
          <w:szCs w:val="26"/>
          <w:highlight w:val="none"/>
        </w:rPr>
        <w:t xml:space="preserve">Границу земельного участка пересекает ограждение в виде столбов и колючей проволоки протяженностью 72,7м.</w:t>
      </w:r>
      <w:r>
        <w:rPr>
          <w:b w:val="0"/>
          <w:bCs w:val="0"/>
          <w:sz w:val="26"/>
          <w:szCs w:val="26"/>
          <w:highlight w:val="none"/>
        </w:rPr>
      </w:r>
      <w:r>
        <w:rPr>
          <w:b w:val="0"/>
          <w:bCs w:val="0"/>
          <w:sz w:val="26"/>
          <w:szCs w:val="26"/>
          <w:highlight w:val="none"/>
        </w:rPr>
      </w:r>
    </w:p>
    <w:p>
      <w:pPr>
        <w:ind w:firstLine="709"/>
        <w:jc w:val="both"/>
        <w:tabs>
          <w:tab w:val="left" w:pos="567" w:leader="none"/>
        </w:tabs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  <w:highlight w:val="none"/>
        </w:rPr>
        <w:t xml:space="preserve">Управление реестра по Иркутской области принято решение о объявлении собственнику земельного участка с кадастровым номером 38:06:07001:21 предостережения о недопустимости нарушений обязательных требований.</w:t>
      </w:r>
      <w:r>
        <w:rPr>
          <w:b w:val="0"/>
          <w:bCs w:val="0"/>
          <w:sz w:val="26"/>
          <w:szCs w:val="26"/>
        </w:rPr>
      </w:r>
      <w:r>
        <w:rPr>
          <w:b w:val="0"/>
          <w:bCs w:val="0"/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Срок действия договора аренды: </w:t>
      </w:r>
      <w:r>
        <w:rPr>
          <w:bCs/>
          <w:sz w:val="26"/>
          <w:szCs w:val="26"/>
        </w:rPr>
        <w:t xml:space="preserve">20 лет.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 w:val="0"/>
          <w:bCs w:val="0"/>
          <w:sz w:val="26"/>
          <w:szCs w:val="26"/>
          <w:highlight w:val="white"/>
        </w:rPr>
      </w:pPr>
      <w:r>
        <w:rPr>
          <w:b/>
          <w:bCs/>
          <w:sz w:val="26"/>
          <w:szCs w:val="26"/>
        </w:rPr>
        <w:tab/>
        <w:t xml:space="preserve">Начальный размер годовой арендной платы: </w:t>
      </w:r>
      <w:r>
        <w:rPr>
          <w:b/>
          <w:bCs/>
          <w:sz w:val="26"/>
          <w:szCs w:val="26"/>
        </w:rPr>
        <w:t xml:space="preserve">38</w:t>
      </w:r>
      <w:r>
        <w:rPr>
          <w:b/>
          <w:bCs/>
          <w:sz w:val="26"/>
          <w:szCs w:val="26"/>
          <w:highlight w:val="white"/>
        </w:rPr>
        <w:t xml:space="preserve"> 000</w:t>
      </w:r>
      <w:r>
        <w:rPr>
          <w:b w:val="0"/>
          <w:bCs w:val="0"/>
          <w:sz w:val="26"/>
          <w:szCs w:val="26"/>
          <w:highlight w:val="white"/>
        </w:rPr>
        <w:t xml:space="preserve"> </w:t>
      </w:r>
      <w:r>
        <w:rPr>
          <w:b w:val="0"/>
          <w:bCs w:val="0"/>
          <w:sz w:val="26"/>
          <w:szCs w:val="26"/>
          <w:highlight w:val="white"/>
        </w:rPr>
        <w:t xml:space="preserve">(Тридцать восемь тысяч</w:t>
      </w:r>
      <w:r>
        <w:rPr>
          <w:b w:val="0"/>
          <w:bCs w:val="0"/>
          <w:sz w:val="26"/>
          <w:szCs w:val="26"/>
          <w:highlight w:val="white"/>
        </w:rPr>
        <w:t xml:space="preserve">) рублей.</w:t>
      </w:r>
      <w:r>
        <w:rPr>
          <w:b w:val="0"/>
          <w:bCs w:val="0"/>
          <w:sz w:val="26"/>
          <w:szCs w:val="26"/>
          <w:highlight w:val="white"/>
        </w:rPr>
      </w:r>
      <w:r>
        <w:rPr>
          <w:b w:val="0"/>
          <w:bCs w:val="0"/>
          <w:sz w:val="26"/>
          <w:szCs w:val="26"/>
          <w:highlight w:val="white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highlight w:val="white"/>
        </w:rPr>
        <w:tab/>
        <w:t xml:space="preserve">Шаг аукциона: </w:t>
      </w:r>
      <w:r>
        <w:rPr>
          <w:bCs/>
          <w:sz w:val="26"/>
          <w:szCs w:val="26"/>
          <w:highlight w:val="white"/>
        </w:rPr>
        <w:t xml:space="preserve">3% от начального размера годовой арендной платы в</w:t>
      </w:r>
      <w:r>
        <w:rPr>
          <w:bCs/>
          <w:sz w:val="26"/>
          <w:szCs w:val="26"/>
        </w:rPr>
        <w:t xml:space="preserve"> сумме</w:t>
      </w:r>
      <w:r>
        <w:rPr>
          <w:b/>
          <w:bCs/>
          <w:sz w:val="26"/>
          <w:szCs w:val="26"/>
        </w:rPr>
        <w:t xml:space="preserve"> 1 140</w:t>
      </w:r>
      <w:r>
        <w:rPr>
          <w:b/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(Одна тысяча сто сорок </w:t>
      </w:r>
      <w:r>
        <w:rPr>
          <w:bCs/>
          <w:sz w:val="26"/>
          <w:szCs w:val="26"/>
        </w:rPr>
        <w:t xml:space="preserve">) рублей.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ab/>
        <w:t xml:space="preserve">Размер задатка: </w:t>
      </w:r>
      <w:r>
        <w:rPr>
          <w:bCs/>
          <w:sz w:val="26"/>
          <w:szCs w:val="26"/>
        </w:rPr>
        <w:t xml:space="preserve">100 % начального размера годовой арендной платы в сумме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38</w:t>
      </w:r>
      <w:r>
        <w:rPr>
          <w:b/>
          <w:bCs/>
          <w:sz w:val="26"/>
          <w:szCs w:val="26"/>
          <w:highlight w:val="white"/>
        </w:rPr>
        <w:t xml:space="preserve"> 000 </w:t>
      </w:r>
      <w:r>
        <w:rPr>
          <w:bCs/>
          <w:sz w:val="26"/>
          <w:szCs w:val="26"/>
          <w:highlight w:val="white"/>
        </w:rPr>
        <w:t xml:space="preserve">(Тридцать восемь тысяч</w:t>
      </w:r>
      <w:r>
        <w:rPr>
          <w:bCs/>
          <w:sz w:val="26"/>
          <w:szCs w:val="26"/>
          <w:highlight w:val="white"/>
        </w:rPr>
        <w:t xml:space="preserve">)</w:t>
      </w:r>
      <w:r>
        <w:rPr>
          <w:bCs/>
          <w:sz w:val="26"/>
          <w:szCs w:val="26"/>
        </w:rPr>
        <w:t xml:space="preserve"> рублей.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86"/>
        <w:numPr>
          <w:ilvl w:val="0"/>
          <w:numId w:val="12"/>
        </w:numPr>
        <w:ind w:left="0" w:firstLine="709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Возможность отказаться от проведения </w:t>
      </w:r>
      <w:r>
        <w:rPr>
          <w:rFonts w:eastAsia="Calibri"/>
          <w:b/>
          <w:bCs/>
          <w:color w:val="1c1c1c"/>
          <w:sz w:val="26"/>
          <w:szCs w:val="26"/>
        </w:rPr>
        <w:t xml:space="preserve">электронного </w:t>
      </w:r>
      <w:r>
        <w:rPr>
          <w:rFonts w:eastAsia="Calibri"/>
          <w:b/>
          <w:bCs/>
          <w:color w:val="1c1c1c"/>
          <w:sz w:val="26"/>
          <w:szCs w:val="26"/>
        </w:rPr>
        <w:t xml:space="preserve">аукциона</w:t>
      </w:r>
      <w:r>
        <w:rPr>
          <w:rFonts w:eastAsia="Calibri"/>
          <w:b/>
          <w:bCs/>
          <w:color w:val="1c1c1c"/>
          <w:sz w:val="26"/>
          <w:szCs w:val="26"/>
        </w:rPr>
        <w:t xml:space="preserve">, </w:t>
      </w:r>
      <w:r>
        <w:rPr>
          <w:rFonts w:eastAsia="Calibri"/>
          <w:b/>
          <w:bCs/>
          <w:color w:val="1c1c1c"/>
          <w:sz w:val="26"/>
          <w:szCs w:val="26"/>
        </w:rPr>
        <w:t xml:space="preserve">внесений изменений в извещение о проведении аукциона</w:t>
      </w:r>
      <w:r>
        <w:rPr>
          <w:rFonts w:eastAsia="Calibri"/>
          <w:b/>
          <w:bCs/>
          <w:color w:val="1c1c1c"/>
          <w:sz w:val="26"/>
          <w:szCs w:val="26"/>
        </w:rPr>
        <w:t xml:space="preserve"> и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pStyle w:val="87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w:tooltip="8. Земельный участок, находящийся в государственной или муниципальной собственности, не может быть предметом аукциона, если:" w:anchor="P122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8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39.11 </w:t>
      </w:r>
      <w:r>
        <w:rPr>
          <w:rFonts w:ascii="Times New Roman" w:hAnsi="Times New Roman" w:cs="Times New Roman"/>
          <w:sz w:val="26"/>
          <w:szCs w:val="26"/>
        </w:rPr>
        <w:t xml:space="preserve">Земельного кодекса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6"/>
        <w:ind w:left="0" w:firstLine="851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Извещение об отказе в проведении аукциона размещается на официальном сайте организатором аукциона в течение</w:t>
      </w:r>
      <w:r>
        <w:rPr>
          <w:sz w:val="26"/>
          <w:szCs w:val="26"/>
        </w:rPr>
        <w:t xml:space="preserve">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6"/>
        <w:ind w:left="0" w:firstLine="851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</w:t>
      </w:r>
      <w:r>
        <w:rPr>
          <w:sz w:val="26"/>
          <w:szCs w:val="26"/>
        </w:rPr>
        <w:t xml:space="preserve">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6"/>
        <w:ind w:left="0" w:firstLine="851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sz w:val="26"/>
          <w:szCs w:val="26"/>
        </w:rPr>
        <w:t xml:space="preserve">В</w:t>
      </w:r>
      <w:r>
        <w:rPr>
          <w:sz w:val="26"/>
          <w:szCs w:val="26"/>
        </w:rPr>
        <w:t xml:space="preserve">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pStyle w:val="886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b/>
          <w:color w:val="000000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Срок и порядок регистрации на электронной площадке</w:t>
      </w:r>
      <w:r>
        <w:rPr>
          <w:rFonts w:cs="Calibri"/>
          <w:b/>
          <w:color w:val="000000"/>
          <w:sz w:val="26"/>
          <w:szCs w:val="26"/>
        </w:rPr>
      </w:r>
      <w:r>
        <w:rPr>
          <w:rFonts w:cs="Calibri"/>
          <w:b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bCs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Для обеспечения доступа к участию в </w:t>
      </w:r>
      <w:r>
        <w:rPr>
          <w:sz w:val="26"/>
          <w:szCs w:val="26"/>
        </w:rPr>
        <w:t xml:space="preserve">электронном</w:t>
      </w:r>
      <w:r>
        <w:rPr>
          <w:rFonts w:cs="Calibri"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аукционе </w:t>
      </w:r>
      <w:r>
        <w:rPr>
          <w:rFonts w:cs="Calibri"/>
          <w:color w:val="000000"/>
          <w:sz w:val="26"/>
          <w:szCs w:val="26"/>
        </w:rPr>
        <w:t xml:space="preserve">заявителям</w:t>
      </w:r>
      <w:r>
        <w:rPr>
          <w:rFonts w:cs="Calibri"/>
          <w:color w:val="000000"/>
          <w:sz w:val="26"/>
          <w:szCs w:val="26"/>
        </w:rPr>
        <w:t xml:space="preserve"> необходимо пройти процедуру регистрации в соответствии с регламентом электронной площадки оператора </w:t>
      </w:r>
      <w:r>
        <w:rPr>
          <w:bCs/>
          <w:color w:val="1c1c1c"/>
          <w:sz w:val="26"/>
          <w:szCs w:val="26"/>
        </w:rPr>
        <w:t xml:space="preserve">АО «Сбербанк-АСТ»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3" w:tooltip="http://sberbank-ast.ru" w:history="1"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color w:val="auto"/>
            <w:sz w:val="26"/>
            <w:szCs w:val="26"/>
            <w:u w:val="none"/>
          </w:rPr>
          <w:t xml:space="preserve">.</w:t>
        </w:r>
        <w:r>
          <w:rPr>
            <w:rStyle w:val="868"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68"/>
          <w:color w:val="auto"/>
          <w:sz w:val="26"/>
          <w:szCs w:val="26"/>
        </w:rPr>
        <w:t xml:space="preserve">)</w:t>
      </w:r>
      <w:r>
        <w:rPr>
          <w:rFonts w:cs="Calibri"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(далее - </w:t>
      </w:r>
      <w:r>
        <w:rPr>
          <w:rFonts w:cs="Calibri"/>
          <w:bCs/>
          <w:color w:val="000000"/>
          <w:sz w:val="26"/>
          <w:szCs w:val="26"/>
        </w:rPr>
        <w:t xml:space="preserve">электронная площадка</w:t>
      </w:r>
      <w:r>
        <w:rPr>
          <w:rFonts w:cs="Calibri"/>
          <w:color w:val="000000"/>
          <w:sz w:val="26"/>
          <w:szCs w:val="26"/>
        </w:rPr>
        <w:t xml:space="preserve">).</w:t>
      </w:r>
      <w:r>
        <w:rPr>
          <w:rFonts w:cs="Calibri"/>
          <w:bCs/>
          <w:color w:val="000000"/>
          <w:sz w:val="26"/>
          <w:szCs w:val="26"/>
        </w:rPr>
        <w:t xml:space="preserve"> Для прохождения процедуры регистрации </w:t>
      </w:r>
      <w:r>
        <w:rPr>
          <w:rFonts w:cs="Calibri"/>
          <w:bCs/>
          <w:color w:val="000000"/>
          <w:sz w:val="26"/>
          <w:szCs w:val="26"/>
        </w:rPr>
        <w:t xml:space="preserve">заявителю</w:t>
      </w:r>
      <w:r>
        <w:rPr>
          <w:rFonts w:cs="Calibri"/>
          <w:bCs/>
          <w:color w:val="000000"/>
          <w:sz w:val="26"/>
          <w:szCs w:val="26"/>
        </w:rPr>
        <w:t xml:space="preserve"> необходимо получить усиленную квалифицирован</w:t>
      </w:r>
      <w:r>
        <w:rPr>
          <w:rFonts w:cs="Calibri"/>
          <w:bCs/>
          <w:color w:val="000000"/>
          <w:sz w:val="26"/>
          <w:szCs w:val="26"/>
        </w:rPr>
        <w:t xml:space="preserve">ную электронную подпись (далее - </w:t>
      </w:r>
      <w:r>
        <w:rPr>
          <w:rFonts w:cs="Calibri"/>
          <w:bCs/>
          <w:color w:val="000000"/>
          <w:sz w:val="26"/>
          <w:szCs w:val="26"/>
        </w:rPr>
        <w:t xml:space="preserve">КЭП) в аккредитованном удостоверяющем центре.</w:t>
      </w:r>
      <w:r>
        <w:rPr>
          <w:rFonts w:cs="Calibri"/>
          <w:bCs/>
          <w:color w:val="000000"/>
          <w:sz w:val="26"/>
          <w:szCs w:val="26"/>
        </w:rPr>
      </w:r>
      <w:r>
        <w:rPr>
          <w:rFonts w:cs="Calibri"/>
          <w:bCs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color w:val="000000"/>
          <w:sz w:val="26"/>
          <w:szCs w:val="26"/>
        </w:rPr>
      </w:pPr>
      <w:r>
        <w:rPr>
          <w:rFonts w:cs="Calibri"/>
          <w:bCs/>
          <w:color w:val="000000"/>
          <w:sz w:val="26"/>
          <w:szCs w:val="26"/>
        </w:rPr>
        <w:t xml:space="preserve">Регистрация на электронной площадке </w:t>
      </w:r>
      <w:r>
        <w:rPr>
          <w:rFonts w:cs="Calibri"/>
          <w:bCs/>
          <w:color w:val="000000"/>
          <w:sz w:val="26"/>
          <w:szCs w:val="26"/>
        </w:rPr>
        <w:t xml:space="preserve">заявителей</w:t>
      </w:r>
      <w:r>
        <w:rPr>
          <w:rFonts w:cs="Calibri"/>
          <w:bCs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на участие в </w:t>
      </w:r>
      <w:r>
        <w:rPr>
          <w:rFonts w:cs="Calibri"/>
          <w:color w:val="000000"/>
          <w:sz w:val="26"/>
          <w:szCs w:val="26"/>
        </w:rPr>
        <w:t xml:space="preserve">электронном </w:t>
      </w:r>
      <w:r>
        <w:rPr>
          <w:rFonts w:cs="Calibri"/>
          <w:color w:val="000000"/>
          <w:sz w:val="26"/>
          <w:szCs w:val="26"/>
        </w:rPr>
        <w:t xml:space="preserve">аукционе осуществляется ежедневно, круглосуточно, но не позднее даты и времени окончания подачи (приема) заявок, указанных </w:t>
      </w:r>
      <w:r>
        <w:rPr>
          <w:rFonts w:cs="Calibri"/>
          <w:color w:val="000000"/>
          <w:sz w:val="26"/>
          <w:szCs w:val="26"/>
        </w:rPr>
        <w:t xml:space="preserve">в информационном сообщении</w:t>
      </w:r>
      <w:r>
        <w:rPr>
          <w:rFonts w:cs="Calibri"/>
          <w:color w:val="000000"/>
          <w:sz w:val="26"/>
          <w:szCs w:val="26"/>
        </w:rPr>
        <w:t xml:space="preserve">.</w:t>
      </w:r>
      <w:r>
        <w:rPr>
          <w:rFonts w:cs="Calibri"/>
          <w:color w:val="000000"/>
          <w:sz w:val="26"/>
          <w:szCs w:val="26"/>
        </w:rPr>
      </w:r>
      <w:r>
        <w:rPr>
          <w:rFonts w:cs="Calibri"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Регистрация на электронной площадке осуществляется без взимания платы.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Регистрации на электронной площадке подлежат </w:t>
      </w:r>
      <w:r>
        <w:rPr>
          <w:rFonts w:cs="Calibri"/>
          <w:sz w:val="26"/>
          <w:szCs w:val="26"/>
        </w:rPr>
        <w:t xml:space="preserve">заявители</w:t>
      </w:r>
      <w:r>
        <w:rPr>
          <w:rFonts w:cs="Calibri"/>
          <w:sz w:val="26"/>
          <w:szCs w:val="26"/>
        </w:rPr>
        <w:t xml:space="preserve">, ранее не зарегистрированные на электронной площадке или регистрация которых на электронной площадке, была ими прекращена.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Плата за услуги оператора </w:t>
      </w:r>
      <w:r>
        <w:rPr>
          <w:sz w:val="26"/>
          <w:szCs w:val="26"/>
        </w:rPr>
        <w:t xml:space="preserve">с победителя электронного аукциона или иных лиц </w:t>
      </w:r>
      <w:r>
        <w:rPr>
          <w:sz w:val="26"/>
          <w:szCs w:val="26"/>
        </w:rPr>
        <w:t xml:space="preserve">с которыми в соответствии с </w:t>
      </w:r>
      <w:hyperlink r:id="rId1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1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1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1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Земельного Код</w:t>
      </w:r>
      <w:r>
        <w:rPr>
          <w:sz w:val="26"/>
          <w:szCs w:val="26"/>
        </w:rPr>
        <w:t xml:space="preserve">екса заключается договор аренды</w:t>
      </w:r>
      <w:r>
        <w:rPr>
          <w:sz w:val="26"/>
          <w:szCs w:val="26"/>
        </w:rPr>
        <w:t xml:space="preserve"> земельного участка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не взимается, в соответствии с тарифами </w:t>
      </w:r>
      <w:r>
        <w:rPr>
          <w:rFonts w:cs="Calibri"/>
          <w:sz w:val="26"/>
          <w:szCs w:val="26"/>
        </w:rPr>
        <w:t xml:space="preserve">АО «Сбербанк-АСТ».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86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sz w:val="26"/>
          <w:szCs w:val="26"/>
        </w:rPr>
      </w:pPr>
      <w:r>
        <w:rPr>
          <w:rFonts w:cs="Calibri"/>
          <w:b/>
          <w:bCs/>
          <w:sz w:val="26"/>
          <w:szCs w:val="26"/>
        </w:rPr>
        <w:t xml:space="preserve">Требования к участникам </w:t>
      </w:r>
      <w:r>
        <w:rPr>
          <w:rFonts w:cs="Calibri"/>
          <w:b/>
          <w:bCs/>
          <w:sz w:val="26"/>
          <w:szCs w:val="26"/>
        </w:rPr>
        <w:t xml:space="preserve">электронного </w:t>
      </w:r>
      <w:r>
        <w:rPr>
          <w:rFonts w:cs="Calibri"/>
          <w:b/>
          <w:bCs/>
          <w:sz w:val="26"/>
          <w:szCs w:val="26"/>
        </w:rPr>
        <w:t xml:space="preserve">аукциона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86"/>
        <w:ind w:left="0" w:firstLine="709"/>
        <w:jc w:val="both"/>
        <w:spacing w:line="200" w:lineRule="atLeast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К участию в электронном аукционе допускаются заявители,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86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b/>
          <w:sz w:val="26"/>
          <w:szCs w:val="26"/>
        </w:rPr>
      </w:pPr>
      <w:r>
        <w:rPr>
          <w:b/>
          <w:sz w:val="26"/>
          <w:szCs w:val="26"/>
        </w:rPr>
        <w:t xml:space="preserve">Порядок подачи (приема) и отзыва заявок на участие в </w:t>
      </w:r>
      <w:r>
        <w:rPr>
          <w:b/>
          <w:sz w:val="26"/>
          <w:szCs w:val="26"/>
        </w:rPr>
        <w:t xml:space="preserve">электронном </w:t>
      </w:r>
      <w:r>
        <w:rPr>
          <w:b/>
          <w:sz w:val="26"/>
          <w:szCs w:val="26"/>
        </w:rPr>
        <w:t xml:space="preserve">аукционе, а также перечень прилагаемых документов: </w:t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 xml:space="preserve">аукционах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пр</w:t>
      </w:r>
      <w:r>
        <w:rPr>
          <w:sz w:val="26"/>
          <w:szCs w:val="26"/>
        </w:rPr>
        <w:t xml:space="preserve">едставляет организатору </w:t>
      </w:r>
      <w:r>
        <w:rPr>
          <w:sz w:val="26"/>
          <w:szCs w:val="26"/>
        </w:rPr>
        <w:t xml:space="preserve">электронного аукциона</w:t>
      </w:r>
      <w:r>
        <w:rPr>
          <w:sz w:val="26"/>
          <w:szCs w:val="26"/>
        </w:rPr>
        <w:t xml:space="preserve"> через </w:t>
      </w:r>
      <w:r>
        <w:rPr>
          <w:rFonts w:cs="Calibri"/>
          <w:b/>
          <w:sz w:val="26"/>
          <w:szCs w:val="26"/>
        </w:rPr>
        <w:t xml:space="preserve">электронную площадку </w:t>
      </w:r>
      <w:r>
        <w:rPr>
          <w:b/>
          <w:bCs/>
          <w:sz w:val="26"/>
          <w:szCs w:val="26"/>
        </w:rPr>
        <w:t xml:space="preserve">АО «Сбербанк-АСТ»</w:t>
      </w:r>
      <w:r>
        <w:rPr>
          <w:bCs/>
          <w:sz w:val="26"/>
          <w:szCs w:val="26"/>
        </w:rPr>
        <w:t xml:space="preserve">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8" w:tooltip="http://sberbank-ast.ru" w:history="1"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color w:val="auto"/>
            <w:sz w:val="26"/>
            <w:szCs w:val="26"/>
            <w:u w:val="none"/>
          </w:rPr>
          <w:t xml:space="preserve">.</w:t>
        </w:r>
        <w:r>
          <w:rPr>
            <w:rStyle w:val="868"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68"/>
          <w:color w:val="auto"/>
          <w:sz w:val="26"/>
          <w:szCs w:val="26"/>
          <w:u w:val="none"/>
        </w:rPr>
        <w:t xml:space="preserve">)</w:t>
      </w:r>
      <w:r>
        <w:rPr>
          <w:rStyle w:val="868"/>
          <w:color w:val="auto"/>
          <w:sz w:val="26"/>
          <w:szCs w:val="26"/>
          <w:u w:val="none"/>
        </w:rPr>
        <w:t xml:space="preserve"> </w:t>
      </w:r>
      <w:r>
        <w:rPr>
          <w:sz w:val="26"/>
          <w:szCs w:val="26"/>
        </w:rPr>
        <w:t xml:space="preserve">в установленный в извещении о проведении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срок следующие документы: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1) заявка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с указанием банковских реквизитов счета для возврата задатка</w:t>
      </w:r>
      <w:r>
        <w:rPr>
          <w:sz w:val="26"/>
          <w:szCs w:val="26"/>
        </w:rPr>
        <w:t xml:space="preserve"> заполняется в электронной форме</w:t>
      </w:r>
      <w:r>
        <w:rPr>
          <w:sz w:val="26"/>
          <w:szCs w:val="26"/>
        </w:rPr>
        <w:t xml:space="preserve"> (с приложением предусмотренных извещением документов)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копии документов, удостоверяющих личность заявителя (для граждан);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>
        <w:rPr>
          <w:sz w:val="26"/>
          <w:szCs w:val="26"/>
        </w:rPr>
        <w:t xml:space="preserve">надлежащим образом,</w:t>
      </w:r>
      <w:r>
        <w:rPr>
          <w:sz w:val="26"/>
          <w:szCs w:val="26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tabs>
          <w:tab w:val="left" w:pos="540" w:leader="none"/>
        </w:tabs>
        <w:rPr>
          <w:bCs/>
          <w:sz w:val="26"/>
          <w:szCs w:val="26"/>
        </w:rPr>
        <w:outlineLvl w:val="0"/>
      </w:pPr>
      <w:r>
        <w:rPr>
          <w:sz w:val="26"/>
          <w:szCs w:val="26"/>
        </w:rPr>
        <w:t xml:space="preserve">4) документы, </w:t>
      </w:r>
      <w:r>
        <w:rPr>
          <w:sz w:val="26"/>
          <w:szCs w:val="26"/>
        </w:rPr>
        <w:t xml:space="preserve">подтверждающие внесение задатка</w:t>
      </w:r>
      <w:r>
        <w:rPr>
          <w:bCs/>
          <w:sz w:val="26"/>
          <w:szCs w:val="26"/>
        </w:rPr>
        <w:t xml:space="preserve"> (При подаче заявителем заявки в соответствии с Регламентом и Инструкциями электронной площадки, информация о внесении заявителем задатка формируется Оператором электронной площадки и направляется Организатору аукциона).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Представление документов, подтверждающих внесение задатка, признается заключением соглашения о задатке.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Один </w:t>
      </w:r>
      <w:r>
        <w:rPr>
          <w:rFonts w:ascii="Times New Roman" w:hAnsi="Times New Roman" w:cs="Times New Roman"/>
          <w:sz w:val="26"/>
          <w:szCs w:val="26"/>
        </w:rPr>
        <w:t xml:space="preserve">заявитель</w:t>
      </w:r>
      <w:r>
        <w:rPr>
          <w:rFonts w:ascii="Times New Roman" w:hAnsi="Times New Roman" w:cs="Times New Roman"/>
          <w:sz w:val="26"/>
          <w:szCs w:val="26"/>
        </w:rPr>
        <w:t xml:space="preserve"> имеет право подать только одну заявку на участие в </w:t>
      </w:r>
      <w:r>
        <w:rPr>
          <w:rFonts w:ascii="Times New Roman" w:hAnsi="Times New Roman" w:cs="Times New Roman"/>
          <w:sz w:val="26"/>
          <w:szCs w:val="26"/>
        </w:rPr>
        <w:t xml:space="preserve">электронном аукционе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 Заявка подается по каждому лоту отдельно.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могут быть поданы на электронную площадку с даты и времени начала подачи (приема) заявок, </w:t>
      </w:r>
      <w:r>
        <w:rPr>
          <w:color w:val="000000"/>
          <w:sz w:val="26"/>
          <w:szCs w:val="26"/>
        </w:rPr>
        <w:t xml:space="preserve">указанных в п. 2 раздела 2 извещения, </w:t>
      </w:r>
      <w:r>
        <w:rPr>
          <w:sz w:val="26"/>
          <w:szCs w:val="26"/>
        </w:rPr>
        <w:t xml:space="preserve">до времени и даты окончания подачи (приема) заявок, </w:t>
      </w:r>
      <w:r>
        <w:rPr>
          <w:color w:val="000000"/>
          <w:sz w:val="26"/>
          <w:szCs w:val="26"/>
        </w:rPr>
        <w:t xml:space="preserve">указанных в п. 3 раздела 2 извещения.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с прилагаемыми к ним документами, поданные с нарушением установленного срока, на электронной площадке не регистрируются.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вправе не позднее даты и времени окончания приема заявок, </w:t>
      </w:r>
      <w:r>
        <w:rPr>
          <w:color w:val="000000"/>
          <w:sz w:val="26"/>
          <w:szCs w:val="26"/>
        </w:rPr>
        <w:t xml:space="preserve">указанных в п. 3 раздела 2 извещения,</w:t>
      </w:r>
      <w:r>
        <w:rPr>
          <w:sz w:val="26"/>
          <w:szCs w:val="26"/>
        </w:rPr>
        <w:t xml:space="preserve"> отозвать заявку путем направления уведомления об отзыве заявки на электронную площадку.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9</w:t>
      </w:r>
      <w:r>
        <w:rPr>
          <w:b/>
          <w:bCs/>
          <w:sz w:val="26"/>
          <w:szCs w:val="26"/>
        </w:rPr>
        <w:t xml:space="preserve">. Порядок внесения и возврата задатка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Для участия в аукционе устанавливаются требования о внесении задатка.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размере, не менее суммы задатка, согласно Извещения.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Перечисление денежных средств на счёт Оператора электронной площадки производится по следующим реквизитам</w:t>
      </w:r>
      <w:r>
        <w:rPr>
          <w:sz w:val="26"/>
          <w:szCs w:val="26"/>
        </w:rPr>
        <w:t xml:space="preserve">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Получатель: </w:t>
      </w:r>
      <w:r>
        <w:rPr>
          <w:sz w:val="26"/>
          <w:szCs w:val="26"/>
        </w:rPr>
        <w:t xml:space="preserve">АО «Сбербанк</w:t>
      </w:r>
      <w:r>
        <w:rPr>
          <w:sz w:val="26"/>
          <w:szCs w:val="26"/>
        </w:rPr>
        <w:t xml:space="preserve">-АСТ»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Наименование банка: ПАО «Сбербанк России» г. Москва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БИК 044525225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Расчетный счет (Казначейский счет)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40702810300020038047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Корреспондентский счет (ЕКС)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30101810400000000225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ИНН 7707308480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КПП 770401001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  <w:shd w:val="clear" w:color="auto" w:fill="ffffff"/>
        </w:rPr>
      </w:pPr>
      <w:r>
        <w:rPr>
          <w:rStyle w:val="893"/>
          <w:color w:val="333333"/>
          <w:sz w:val="26"/>
          <w:szCs w:val="26"/>
          <w:shd w:val="clear" w:color="auto" w:fill="ffffff"/>
        </w:rPr>
        <w:t xml:space="preserve">В назначении платежа необходимо обязательно указать:</w:t>
      </w:r>
      <w:r>
        <w:rPr>
          <w:color w:val="333333"/>
          <w:sz w:val="26"/>
          <w:szCs w:val="26"/>
          <w:shd w:val="clear" w:color="auto" w:fill="ffffff"/>
        </w:rPr>
        <w:t xml:space="preserve"> Перечисление денежных средств в качестве задатка (ИНН </w:t>
      </w:r>
      <w:r>
        <w:rPr>
          <w:sz w:val="26"/>
          <w:szCs w:val="26"/>
          <w:shd w:val="clear" w:color="auto" w:fill="ffffff"/>
        </w:rPr>
        <w:t xml:space="preserve">плательщика).</w:t>
      </w:r>
      <w:r>
        <w:rPr>
          <w:sz w:val="26"/>
          <w:szCs w:val="26"/>
          <w:shd w:val="clear" w:color="auto" w:fill="ffffff"/>
        </w:rPr>
      </w:r>
      <w:r>
        <w:rPr>
          <w:sz w:val="26"/>
          <w:szCs w:val="26"/>
          <w:shd w:val="clear" w:color="auto" w:fill="ffffff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обеспечивает поступление задатка </w:t>
      </w:r>
      <w:r>
        <w:rPr>
          <w:b/>
          <w:sz w:val="26"/>
          <w:szCs w:val="26"/>
        </w:rPr>
        <w:t xml:space="preserve">в срок </w:t>
      </w:r>
      <w:r>
        <w:rPr>
          <w:b/>
          <w:bCs/>
          <w:sz w:val="26"/>
          <w:szCs w:val="26"/>
        </w:rPr>
        <w:t xml:space="preserve">с 05.03</w:t>
      </w:r>
      <w:r>
        <w:rPr>
          <w:b/>
          <w:bCs/>
          <w:sz w:val="26"/>
          <w:szCs w:val="26"/>
        </w:rPr>
        <w:t xml:space="preserve">.2026</w:t>
      </w:r>
      <w:r>
        <w:rPr>
          <w:b/>
          <w:bCs/>
          <w:sz w:val="26"/>
          <w:szCs w:val="26"/>
        </w:rPr>
        <w:t xml:space="preserve"> с </w:t>
      </w:r>
      <w:r>
        <w:rPr>
          <w:b/>
          <w:bCs/>
          <w:sz w:val="26"/>
          <w:szCs w:val="26"/>
        </w:rPr>
        <w:t xml:space="preserve">10</w:t>
      </w:r>
      <w:r>
        <w:rPr>
          <w:b/>
          <w:bCs/>
          <w:sz w:val="26"/>
          <w:szCs w:val="26"/>
        </w:rPr>
        <w:t xml:space="preserve"> час. 00 мин. по 07.04</w:t>
      </w:r>
      <w:r>
        <w:rPr>
          <w:b/>
          <w:bCs/>
          <w:sz w:val="26"/>
          <w:szCs w:val="26"/>
        </w:rPr>
        <w:t xml:space="preserve">.2026</w:t>
      </w:r>
      <w:r>
        <w:rPr>
          <w:b/>
          <w:bCs/>
          <w:sz w:val="26"/>
          <w:szCs w:val="26"/>
        </w:rPr>
        <w:t xml:space="preserve"> до </w:t>
      </w:r>
      <w:r>
        <w:rPr>
          <w:b/>
          <w:bCs/>
          <w:sz w:val="26"/>
          <w:szCs w:val="26"/>
        </w:rPr>
        <w:t xml:space="preserve">10</w:t>
      </w:r>
      <w:r>
        <w:rPr>
          <w:b/>
          <w:bCs/>
          <w:sz w:val="26"/>
          <w:szCs w:val="26"/>
        </w:rPr>
        <w:t xml:space="preserve"> час. 00 мин. по </w:t>
      </w:r>
      <w:r>
        <w:rPr>
          <w:b/>
          <w:bCs/>
          <w:sz w:val="26"/>
          <w:szCs w:val="26"/>
        </w:rPr>
        <w:t xml:space="preserve">местному</w:t>
      </w:r>
      <w:r>
        <w:rPr>
          <w:b/>
          <w:bCs/>
          <w:sz w:val="26"/>
          <w:szCs w:val="26"/>
        </w:rPr>
        <w:t xml:space="preserve"> времени.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bCs/>
          <w:sz w:val="26"/>
          <w:szCs w:val="26"/>
        </w:rPr>
        <w:tab/>
      </w:r>
      <w:r>
        <w:rPr>
          <w:sz w:val="26"/>
          <w:szCs w:val="26"/>
        </w:rPr>
        <w:t xml:space="preserve">Плательщиком задатка может быть только </w:t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. Не допускается перечисление задатка иными лицами. Перечисленные денежные средства иными лицами, кроме </w:t>
      </w:r>
      <w:r>
        <w:rPr>
          <w:sz w:val="26"/>
          <w:szCs w:val="26"/>
        </w:rPr>
        <w:t xml:space="preserve">заявителя</w:t>
      </w:r>
      <w:r>
        <w:rPr>
          <w:sz w:val="26"/>
          <w:szCs w:val="26"/>
        </w:rPr>
        <w:t xml:space="preserve">, будут считаться ошибочно перечисленными денежными средствами и возвращены на счет плательщика.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обеспечения, размещенными по адресу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9" w:tooltip="http://sberbank-ast.ru" w:history="1">
        <w:r>
          <w:rPr>
            <w:rStyle w:val="868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b/>
            <w:color w:val="auto"/>
            <w:sz w:val="26"/>
            <w:szCs w:val="26"/>
            <w:u w:val="none"/>
          </w:rPr>
          <w:t xml:space="preserve">.</w:t>
        </w:r>
        <w:r>
          <w:rPr>
            <w:rStyle w:val="868"/>
            <w:b/>
            <w:color w:val="auto"/>
            <w:sz w:val="26"/>
            <w:szCs w:val="26"/>
            <w:u w:val="none"/>
          </w:rPr>
          <w:t xml:space="preserve">ru</w:t>
        </w:r>
      </w:hyperlink>
      <w:r>
        <w:rPr>
          <w:sz w:val="26"/>
          <w:szCs w:val="26"/>
        </w:rPr>
        <w:t xml:space="preserve"> (далее – Регламент), а также ЗК РФ.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Операции</w:t>
      </w:r>
      <w:r>
        <w:rPr>
          <w:sz w:val="26"/>
          <w:szCs w:val="26"/>
        </w:rPr>
        <w:t xml:space="preserve"> по перечислению дене</w:t>
      </w:r>
      <w:r>
        <w:rPr>
          <w:sz w:val="26"/>
          <w:szCs w:val="26"/>
        </w:rPr>
        <w:t xml:space="preserve">жных средств на счёт Оператора </w:t>
      </w:r>
      <w:r>
        <w:rPr>
          <w:sz w:val="26"/>
          <w:szCs w:val="26"/>
        </w:rPr>
        <w:t xml:space="preserve">электронной площадки учитываются на счёте заявителя, открытом Оператором электронной площадки. Денежные средства в размере, равному задатку </w:t>
      </w:r>
      <w:r>
        <w:rPr>
          <w:sz w:val="26"/>
          <w:szCs w:val="26"/>
        </w:rPr>
        <w:t xml:space="preserve">согласно Извещения, блокируются Оператором э</w:t>
      </w:r>
      <w:r>
        <w:rPr>
          <w:sz w:val="26"/>
          <w:szCs w:val="26"/>
        </w:rPr>
        <w:t xml:space="preserve">лектронной площадки на счете заявителя. Основанием для блокирования денежных средств является заявка, направленная Оператору электронной площадки. Заблокированные на счете заявителя денежные средства являются задатком. Подача заявки и блокирование задатка </w:t>
      </w:r>
      <w:r>
        <w:rPr>
          <w:sz w:val="26"/>
          <w:szCs w:val="26"/>
        </w:rPr>
        <w:t xml:space="preserve">является</w:t>
      </w:r>
      <w:r>
        <w:rPr>
          <w:sz w:val="26"/>
          <w:szCs w:val="26"/>
        </w:rPr>
        <w:t xml:space="preserve"> заключением Соглашения о задатке.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Задаток, внесенный лицом, признанным победителем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задаток, внесенный иным лицом (подавшим единственную заявку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аукционе, с заявителем, признанным единственным участником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аукциона, либо с единственным принявшим участие в аукционе его участником), с которым заключается договор в соответствии с положениями ЗК РФ, засчитываются в </w:t>
      </w:r>
      <w:r>
        <w:rPr>
          <w:sz w:val="26"/>
          <w:szCs w:val="26"/>
        </w:rPr>
        <w:t xml:space="preserve">оплату приобретаемого земельного участка или в счет арендной платы за него</w:t>
      </w:r>
      <w:r>
        <w:rPr>
          <w:sz w:val="26"/>
          <w:szCs w:val="26"/>
        </w:rPr>
        <w:t xml:space="preserve">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widowControl w:val="off"/>
        <w:tabs>
          <w:tab w:val="left" w:pos="1346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Прекращение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блокирования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денежных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средств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счете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участника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производится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оператором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 площадки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следующем порядке: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6"/>
        <w:numPr>
          <w:ilvl w:val="0"/>
          <w:numId w:val="13"/>
        </w:numPr>
        <w:contextualSpacing w:val="0"/>
        <w:ind w:left="0"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</w:t>
      </w:r>
      <w:r>
        <w:rPr>
          <w:sz w:val="26"/>
          <w:szCs w:val="26"/>
        </w:rPr>
        <w:t xml:space="preserve"> заявителя электронного</w:t>
      </w:r>
      <w:r>
        <w:rPr>
          <w:sz w:val="26"/>
          <w:szCs w:val="26"/>
        </w:rPr>
        <w:t xml:space="preserve"> аукциона, отозвавшего заявку до о</w:t>
      </w:r>
      <w:r>
        <w:rPr>
          <w:sz w:val="26"/>
          <w:szCs w:val="26"/>
        </w:rPr>
        <w:t xml:space="preserve">кончания срока приема заявок - </w:t>
      </w:r>
      <w:r>
        <w:rPr>
          <w:sz w:val="26"/>
          <w:szCs w:val="26"/>
        </w:rPr>
        <w:t xml:space="preserve">в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   </w:t>
      </w:r>
      <w:r>
        <w:rPr>
          <w:sz w:val="26"/>
          <w:szCs w:val="26"/>
        </w:rPr>
        <w:t xml:space="preserve">3 рабочих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   дня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поступления   уведомления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об   </w:t>
      </w:r>
      <w:r>
        <w:rPr>
          <w:sz w:val="26"/>
          <w:szCs w:val="26"/>
        </w:rPr>
        <w:t xml:space="preserve">отзыве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заявки</w:t>
      </w:r>
      <w:r>
        <w:rPr>
          <w:spacing w:val="-52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для </w:t>
      </w:r>
      <w:r>
        <w:rPr>
          <w:sz w:val="26"/>
          <w:szCs w:val="26"/>
        </w:rPr>
        <w:t xml:space="preserve">заявителя</w:t>
      </w:r>
      <w:r>
        <w:rPr>
          <w:sz w:val="26"/>
          <w:szCs w:val="26"/>
        </w:rPr>
        <w:t xml:space="preserve">, не допущенного к участию в аукционе в электронной форме – в течение 3 рабочих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оформления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рассмотрения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заявок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аукционе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-5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для участников, участвовавших в аукционе в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но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не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победивших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нем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–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3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рабочих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публикации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52"/>
          <w:sz w:val="26"/>
          <w:szCs w:val="26"/>
        </w:rPr>
        <w:t xml:space="preserve">    </w:t>
      </w:r>
      <w:r>
        <w:rPr>
          <w:sz w:val="26"/>
          <w:szCs w:val="26"/>
        </w:rPr>
        <w:t xml:space="preserve">о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результатах аукциона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</w:t>
      </w:r>
      <w:r>
        <w:rPr>
          <w:sz w:val="26"/>
          <w:szCs w:val="26"/>
        </w:rPr>
        <w:t xml:space="preserve">договора</w:t>
      </w:r>
      <w:r>
        <w:rPr>
          <w:sz w:val="26"/>
          <w:szCs w:val="26"/>
        </w:rPr>
        <w:t xml:space="preserve"> аренды земельного участка победителем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10</w:t>
      </w:r>
      <w:r>
        <w:rPr>
          <w:b/>
          <w:bCs/>
          <w:sz w:val="26"/>
          <w:szCs w:val="26"/>
        </w:rPr>
        <w:t xml:space="preserve">. Условия допуска к участию в </w:t>
      </w:r>
      <w:r>
        <w:rPr>
          <w:b/>
          <w:bCs/>
          <w:sz w:val="26"/>
          <w:szCs w:val="26"/>
        </w:rPr>
        <w:t xml:space="preserve">электронном </w:t>
      </w:r>
      <w:r>
        <w:rPr>
          <w:b/>
          <w:bCs/>
          <w:sz w:val="26"/>
          <w:szCs w:val="26"/>
        </w:rPr>
        <w:t xml:space="preserve">аукционе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не допускается к участию в аукционе в случае: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 1) непредставление необходимых для участия в</w:t>
      </w:r>
      <w:r>
        <w:rPr>
          <w:sz w:val="26"/>
          <w:szCs w:val="26"/>
        </w:rPr>
        <w:t xml:space="preserve"> электронном </w:t>
      </w:r>
      <w:r>
        <w:rPr>
          <w:sz w:val="26"/>
          <w:szCs w:val="26"/>
        </w:rPr>
        <w:t xml:space="preserve">аукционе документов или представление недостоверных сведений;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>
        <w:rPr>
          <w:sz w:val="26"/>
          <w:szCs w:val="26"/>
        </w:rPr>
        <w:t xml:space="preserve">непоступление</w:t>
      </w:r>
      <w:r>
        <w:rPr>
          <w:sz w:val="26"/>
          <w:szCs w:val="26"/>
        </w:rPr>
        <w:t xml:space="preserve"> задатка на дату рассмотрения заявок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подача заявки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лицом, которое в соответствии с </w:t>
      </w:r>
      <w:r>
        <w:rPr>
          <w:sz w:val="26"/>
          <w:szCs w:val="26"/>
        </w:rPr>
        <w:t xml:space="preserve">Земельным </w:t>
      </w:r>
      <w:r>
        <w:rPr>
          <w:sz w:val="26"/>
          <w:szCs w:val="26"/>
        </w:rPr>
        <w:t xml:space="preserve">Кодексом</w:t>
      </w:r>
      <w:r>
        <w:rPr>
          <w:sz w:val="26"/>
          <w:szCs w:val="26"/>
        </w:rPr>
        <w:t xml:space="preserve"> РФ</w:t>
      </w:r>
      <w:r>
        <w:rPr>
          <w:sz w:val="26"/>
          <w:szCs w:val="26"/>
        </w:rPr>
        <w:t xml:space="preserve"> и другими федеральными законами не имеет права быть участником конкретного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покупателем земельного участка или приобрести земельный участок в аренду;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</w:t>
      </w:r>
      <w:r>
        <w:rPr>
          <w:sz w:val="26"/>
          <w:szCs w:val="26"/>
        </w:rPr>
        <w:t xml:space="preserve">в предусмотренном статьей 39.12 Земельного кодекса Российской Федерации, </w:t>
      </w:r>
      <w:r>
        <w:rPr>
          <w:sz w:val="26"/>
          <w:szCs w:val="26"/>
        </w:rPr>
        <w:t xml:space="preserve">реестре недобросовестных участников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. Порядок определения участников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Решение о признании претендентов участниками аукциона принимается в соответствии </w:t>
      </w:r>
      <w:r>
        <w:rPr>
          <w:sz w:val="26"/>
          <w:szCs w:val="26"/>
        </w:rPr>
        <w:t xml:space="preserve">с </w:t>
      </w:r>
      <w:r>
        <w:rPr>
          <w:sz w:val="26"/>
          <w:szCs w:val="26"/>
        </w:rPr>
        <w:t xml:space="preserve">протоколом </w:t>
      </w:r>
      <w:r>
        <w:rPr>
          <w:sz w:val="26"/>
          <w:szCs w:val="26"/>
        </w:rPr>
        <w:t xml:space="preserve">рассмотрения</w:t>
      </w:r>
      <w:r>
        <w:rPr>
          <w:sz w:val="26"/>
          <w:szCs w:val="26"/>
        </w:rPr>
        <w:t xml:space="preserve"> заявок  </w:t>
      </w:r>
      <w:r>
        <w:rPr>
          <w:sz w:val="26"/>
          <w:szCs w:val="26"/>
        </w:rPr>
        <w:t xml:space="preserve">на участие в электронном аукционе </w:t>
      </w:r>
      <w:r>
        <w:rPr>
          <w:color w:val="000000"/>
          <w:sz w:val="26"/>
          <w:szCs w:val="26"/>
        </w:rPr>
        <w:t xml:space="preserve">на сайте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0" w:tooltip="http://sberbank-ast.ru" w:history="1"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color w:val="auto"/>
            <w:sz w:val="26"/>
            <w:szCs w:val="26"/>
            <w:u w:val="none"/>
          </w:rPr>
          <w:t xml:space="preserve">.</w:t>
        </w:r>
        <w:r>
          <w:rPr>
            <w:rStyle w:val="868"/>
            <w:color w:val="auto"/>
            <w:sz w:val="26"/>
            <w:szCs w:val="26"/>
            <w:u w:val="none"/>
          </w:rPr>
          <w:t xml:space="preserve">ru</w:t>
        </w:r>
      </w:hyperlink>
      <w:r>
        <w:rPr>
          <w:color w:val="000000"/>
          <w:sz w:val="26"/>
          <w:szCs w:val="26"/>
        </w:rPr>
        <w:t xml:space="preserve">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7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</w:t>
      </w:r>
      <w:r>
        <w:rPr>
          <w:rFonts w:ascii="Times New Roman" w:hAnsi="Times New Roman" w:cs="Times New Roman"/>
          <w:sz w:val="26"/>
          <w:szCs w:val="26"/>
        </w:rPr>
        <w:t xml:space="preserve">ь от имени организатора аукцион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Сведения о количестве участников аукциона без указания иных све</w:t>
      </w:r>
      <w:r>
        <w:rPr>
          <w:rFonts w:ascii="Times New Roman" w:hAnsi="Times New Roman" w:cs="Times New Roman"/>
          <w:sz w:val="26"/>
          <w:szCs w:val="26"/>
        </w:rPr>
        <w:t xml:space="preserve">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заявок. </w:t>
      </w:r>
      <w:r>
        <w:rPr>
          <w:rFonts w:ascii="Times New Roman" w:hAnsi="Times New Roman" w:cs="Times New Roman"/>
          <w:sz w:val="26"/>
          <w:szCs w:val="26"/>
        </w:rPr>
        <w:t xml:space="preserve">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Заявителям, признанным участниками электронного</w:t>
      </w:r>
      <w:r>
        <w:rPr>
          <w:sz w:val="26"/>
          <w:szCs w:val="26"/>
        </w:rPr>
        <w:t xml:space="preserve">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</w:t>
      </w:r>
      <w:r>
        <w:rPr>
          <w:sz w:val="26"/>
          <w:szCs w:val="26"/>
        </w:rPr>
        <w:t xml:space="preserve"> рассмотрения заявок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1</w:t>
      </w:r>
      <w:r>
        <w:rPr>
          <w:b/>
          <w:sz w:val="26"/>
          <w:szCs w:val="26"/>
        </w:rPr>
        <w:t xml:space="preserve">2</w:t>
      </w:r>
      <w:r>
        <w:rPr>
          <w:b/>
          <w:sz w:val="26"/>
          <w:szCs w:val="26"/>
        </w:rPr>
        <w:t xml:space="preserve">.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Порядок проведения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аукциона: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Электронный</w:t>
      </w:r>
      <w:r>
        <w:rPr>
          <w:rFonts w:cs="Calibri"/>
          <w:sz w:val="26"/>
          <w:szCs w:val="26"/>
        </w:rPr>
        <w:t xml:space="preserve"> а</w:t>
      </w:r>
      <w:r>
        <w:rPr>
          <w:rFonts w:cs="Calibri"/>
          <w:sz w:val="26"/>
          <w:szCs w:val="26"/>
        </w:rPr>
        <w:t xml:space="preserve">укцион проводится на электронной площадке в день и время, у</w:t>
      </w:r>
      <w:r>
        <w:rPr>
          <w:rFonts w:cs="Calibri"/>
          <w:sz w:val="26"/>
          <w:szCs w:val="26"/>
        </w:rPr>
        <w:t xml:space="preserve">казанные</w:t>
      </w:r>
      <w:r>
        <w:rPr>
          <w:rFonts w:cs="Calibri"/>
          <w:sz w:val="26"/>
          <w:szCs w:val="26"/>
        </w:rPr>
        <w:t xml:space="preserve">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</w:t>
      </w:r>
      <w:r>
        <w:rPr>
          <w:sz w:val="26"/>
          <w:szCs w:val="26"/>
        </w:rPr>
        <w:t xml:space="preserve">укцион проводится при наличии не менее двух участников.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Начальной ценой</w:t>
      </w:r>
      <w:r>
        <w:rPr>
          <w:sz w:val="26"/>
          <w:szCs w:val="26"/>
        </w:rPr>
        <w:t xml:space="preserve"> предмета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</w:t>
      </w:r>
      <w:r>
        <w:rPr>
          <w:bCs/>
          <w:sz w:val="26"/>
          <w:szCs w:val="26"/>
        </w:rPr>
        <w:t xml:space="preserve">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hyperlink r:id="rId21" w:tooltip="consultantplus://offline/ref=ACBC04675D45A7319E4896355D993A4826746042F3CB2CBB1E8429029F34B456AD46430754CDA9B6A2FD79FD81QEfFJ" w:history="1">
        <w:r>
          <w:rPr>
            <w:bCs/>
            <w:sz w:val="26"/>
            <w:szCs w:val="26"/>
          </w:rPr>
          <w:t xml:space="preserve">законом</w:t>
        </w:r>
      </w:hyperlink>
      <w:r>
        <w:rPr>
          <w:bCs/>
          <w:sz w:val="26"/>
          <w:szCs w:val="26"/>
        </w:rPr>
        <w:t xml:space="preserve"> от 29 июля 1998 года N 135-ФЗ "Об оценочной деятельности в Российской Федерации" (далее - Фе</w:t>
      </w:r>
      <w:r>
        <w:rPr>
          <w:bCs/>
          <w:sz w:val="26"/>
          <w:szCs w:val="26"/>
        </w:rPr>
        <w:t xml:space="preserve">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 ходе проведения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участники аукциона подают предложения о цене предмета аукциона в соответствии со следующими требованиями: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предложение о цене предмета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увеличивает текущее максимальное предложение о цене предмета аукциона на величину "шага аукциона";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участник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 проводится на электронной площадке ее оператором, функционирующих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Предложение о цене предмета </w:t>
      </w:r>
      <w:r>
        <w:rPr>
          <w:sz w:val="26"/>
          <w:szCs w:val="26"/>
        </w:rPr>
        <w:t xml:space="preserve">электронного</w:t>
      </w:r>
      <w:r>
        <w:rPr>
          <w:rFonts w:cs="Calibri"/>
          <w:sz w:val="26"/>
          <w:szCs w:val="26"/>
        </w:rPr>
        <w:t xml:space="preserve"> </w:t>
      </w:r>
      <w:r>
        <w:rPr>
          <w:rFonts w:cs="Calibri"/>
          <w:sz w:val="26"/>
          <w:szCs w:val="26"/>
        </w:rPr>
        <w:t xml:space="preserve">аукциона признается подписанное ЭП участника.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Время ожидания предложения участника электронного а</w:t>
      </w:r>
      <w:r>
        <w:rPr>
          <w:sz w:val="26"/>
          <w:szCs w:val="26"/>
        </w:rPr>
        <w:t xml:space="preserve">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</w:t>
      </w:r>
      <w:r>
        <w:rPr>
          <w:sz w:val="26"/>
          <w:szCs w:val="26"/>
        </w:rPr>
        <w:t xml:space="preserve"> времени ни одного предложения о более высокой цене предмета аукциона не поступило, электронный аукцион завершается.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</w:t>
      </w:r>
      <w:r>
        <w:rPr>
          <w:b/>
          <w:sz w:val="26"/>
          <w:szCs w:val="26"/>
        </w:rPr>
        <w:t xml:space="preserve">3</w:t>
      </w:r>
      <w:r>
        <w:rPr>
          <w:b/>
          <w:sz w:val="26"/>
          <w:szCs w:val="26"/>
        </w:rPr>
        <w:t xml:space="preserve">. </w:t>
      </w:r>
      <w:r>
        <w:rPr>
          <w:b/>
          <w:bCs/>
          <w:sz w:val="26"/>
          <w:szCs w:val="26"/>
        </w:rPr>
        <w:t xml:space="preserve">Подведение итогов процедуры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Выигравшим торги на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признается лицо, предложившее наиболее высокую цену.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Протокол проведения электронного аукциона подписывается усиленной квалифицированной электронной подписью оператором электр</w:t>
      </w:r>
      <w:r>
        <w:rPr>
          <w:sz w:val="26"/>
          <w:szCs w:val="26"/>
        </w:rPr>
        <w:t xml:space="preserve">онной площадки и размещается им на электронной площадке в течение одного часа после окончания электронного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</w:t>
      </w:r>
      <w:r>
        <w:rPr>
          <w:sz w:val="26"/>
          <w:szCs w:val="26"/>
        </w:rPr>
        <w:t xml:space="preserve">о результатах электронного аукциона, подписание данного протокола усиленной квалифицированной электронной подписью лицом, уполномоченным дей</w:t>
      </w:r>
      <w:r>
        <w:rPr>
          <w:sz w:val="26"/>
          <w:szCs w:val="26"/>
        </w:rPr>
        <w:t xml:space="preserve">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</w:t>
      </w:r>
      <w:r>
        <w:rPr>
          <w:sz w:val="26"/>
          <w:szCs w:val="26"/>
        </w:rPr>
        <w:t xml:space="preserve">режиме направляется оператором электронной площадки для размещения на официальном сайте.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Информация о результатах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публикуется на официальных сайтах в сети «Интернет»</w:t>
      </w:r>
      <w:r>
        <w:rPr>
          <w:b/>
          <w:sz w:val="26"/>
          <w:szCs w:val="26"/>
        </w:rPr>
        <w:t xml:space="preserve"> 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2" w:tooltip="http://sberbank-ast.ru" w:history="1"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color w:val="auto"/>
            <w:sz w:val="26"/>
            <w:szCs w:val="26"/>
            <w:u w:val="none"/>
          </w:rPr>
          <w:t xml:space="preserve">.</w:t>
        </w:r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ru</w:t>
        </w:r>
      </w:hyperlink>
      <w:r>
        <w:rPr>
          <w:rStyle w:val="868"/>
          <w:color w:val="auto"/>
          <w:sz w:val="26"/>
          <w:szCs w:val="26"/>
          <w:u w:val="none"/>
        </w:rPr>
        <w:t xml:space="preserve"> (</w:t>
      </w:r>
      <w:r>
        <w:rPr>
          <w:bCs/>
          <w:sz w:val="26"/>
          <w:szCs w:val="26"/>
        </w:rPr>
        <w:t xml:space="preserve">АО «Сбербанк-АСТ»)</w:t>
      </w:r>
      <w:r>
        <w:rPr>
          <w:rStyle w:val="868"/>
          <w:color w:val="auto"/>
          <w:sz w:val="26"/>
          <w:szCs w:val="26"/>
          <w:u w:val="none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 </w:t>
      </w:r>
      <w:r>
        <w:rPr>
          <w:bCs/>
          <w:sz w:val="26"/>
          <w:szCs w:val="26"/>
        </w:rPr>
        <w:t xml:space="preserve">официальном сайте </w:t>
      </w:r>
      <w:r>
        <w:rPr>
          <w:sz w:val="26"/>
          <w:szCs w:val="26"/>
        </w:rPr>
        <w:t xml:space="preserve">уполномоченного органа</w:t>
      </w:r>
      <w:r>
        <w:rPr>
          <w:bCs/>
          <w:sz w:val="26"/>
          <w:szCs w:val="26"/>
        </w:rPr>
        <w:t xml:space="preserve"> </w:t>
      </w:r>
      <w:hyperlink r:id="rId23" w:tooltip="http://www.mio.irkobl.ru" w:history="1">
        <w:r>
          <w:rPr>
            <w:bCs/>
            <w:sz w:val="26"/>
            <w:szCs w:val="26"/>
          </w:rPr>
          <w:t xml:space="preserve">www.mio.irkobl.</w:t>
        </w:r>
        <w:r>
          <w:rPr>
            <w:bCs/>
            <w:sz w:val="26"/>
            <w:szCs w:val="26"/>
            <w:lang w:val="en-US"/>
          </w:rPr>
          <w:t xml:space="preserve">r</w:t>
        </w:r>
        <w:r>
          <w:rPr>
            <w:bCs/>
            <w:sz w:val="26"/>
            <w:szCs w:val="26"/>
          </w:rPr>
          <w:t xml:space="preserve">u</w:t>
        </w:r>
      </w:hyperlink>
      <w:r>
        <w:rPr>
          <w:bCs/>
          <w:sz w:val="26"/>
          <w:szCs w:val="26"/>
        </w:rPr>
        <w:t xml:space="preserve">  и </w:t>
      </w:r>
      <w:r>
        <w:rPr>
          <w:sz w:val="26"/>
          <w:szCs w:val="26"/>
        </w:rPr>
        <w:t xml:space="preserve"> сайте </w:t>
      </w:r>
      <w:r>
        <w:rPr>
          <w:bCs/>
          <w:sz w:val="26"/>
          <w:szCs w:val="26"/>
        </w:rPr>
        <w:t xml:space="preserve">организатора аукциона www.irkfi. </w:t>
      </w:r>
      <w:r>
        <w:rPr>
          <w:bCs/>
          <w:sz w:val="26"/>
          <w:szCs w:val="26"/>
        </w:rPr>
        <w:t xml:space="preserve">ru</w:t>
      </w:r>
      <w:r>
        <w:rPr>
          <w:sz w:val="26"/>
          <w:szCs w:val="26"/>
          <w:u w:val="single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1"/>
        <w:ind w:firstLine="709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4</w:t>
      </w:r>
      <w:r>
        <w:rPr>
          <w:b/>
          <w:bCs/>
          <w:sz w:val="26"/>
          <w:szCs w:val="26"/>
        </w:rPr>
        <w:t xml:space="preserve">.</w:t>
      </w:r>
      <w:r>
        <w:rPr>
          <w:b/>
          <w:bCs/>
          <w:color w:val="ff0000"/>
          <w:sz w:val="26"/>
          <w:szCs w:val="26"/>
        </w:rPr>
        <w:t xml:space="preserve"> </w:t>
      </w:r>
      <w:r>
        <w:rPr>
          <w:b/>
          <w:bCs/>
          <w:sz w:val="26"/>
          <w:szCs w:val="26"/>
        </w:rPr>
        <w:t xml:space="preserve">Заключение договора аренды</w:t>
      </w:r>
      <w:r>
        <w:rPr>
          <w:b/>
          <w:bCs/>
          <w:sz w:val="26"/>
          <w:szCs w:val="26"/>
        </w:rPr>
        <w:t xml:space="preserve"> земельного участка по результатам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</w:t>
      </w:r>
      <w:r>
        <w:rPr>
          <w:b/>
          <w:bCs/>
          <w:sz w:val="26"/>
          <w:szCs w:val="26"/>
        </w:rPr>
        <w:t xml:space="preserve">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61"/>
        <w:ind w:firstLine="708"/>
        <w:spacing w:after="0" w:line="200" w:lineRule="atLeast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Заключение договора аренды земельного участка с победителем по </w:t>
      </w:r>
      <w:r>
        <w:rPr>
          <w:bCs/>
          <w:iCs/>
          <w:sz w:val="26"/>
          <w:szCs w:val="26"/>
        </w:rPr>
        <w:t xml:space="preserve">результатам</w:t>
      </w:r>
      <w:r>
        <w:rPr>
          <w:sz w:val="26"/>
          <w:szCs w:val="26"/>
        </w:rPr>
        <w:t xml:space="preserve"> электронного</w:t>
      </w:r>
      <w:r>
        <w:rPr>
          <w:bCs/>
          <w:iCs/>
          <w:sz w:val="26"/>
          <w:szCs w:val="26"/>
        </w:rPr>
        <w:t xml:space="preserve"> </w:t>
      </w:r>
      <w:r>
        <w:rPr>
          <w:bCs/>
          <w:iCs/>
          <w:sz w:val="26"/>
          <w:szCs w:val="26"/>
        </w:rPr>
        <w:t xml:space="preserve">аукциона</w:t>
      </w:r>
      <w:r>
        <w:rPr>
          <w:bCs/>
          <w:iCs/>
          <w:sz w:val="26"/>
          <w:szCs w:val="26"/>
        </w:rPr>
        <w:t xml:space="preserve"> осуществляется в установленном законодательством Российской </w:t>
      </w:r>
      <w:r>
        <w:rPr>
          <w:bCs/>
          <w:iCs/>
          <w:sz w:val="26"/>
          <w:szCs w:val="26"/>
        </w:rPr>
        <w:t xml:space="preserve">Федерации порядке.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 результатам проведения электронного аукциона договор </w:t>
      </w:r>
      <w:r>
        <w:rPr>
          <w:sz w:val="26"/>
          <w:szCs w:val="26"/>
        </w:rPr>
        <w:t xml:space="preserve">аренды</w:t>
      </w:r>
      <w:r>
        <w:rPr>
          <w:sz w:val="26"/>
          <w:szCs w:val="26"/>
        </w:rPr>
        <w:t xml:space="preserve"> земельного участка, находящегося в государственной собственности</w:t>
      </w:r>
      <w:r>
        <w:rPr>
          <w:sz w:val="26"/>
          <w:szCs w:val="26"/>
        </w:rPr>
        <w:t xml:space="preserve"> Иркутской области</w:t>
      </w:r>
      <w:r>
        <w:rPr>
          <w:sz w:val="26"/>
          <w:szCs w:val="26"/>
        </w:rPr>
        <w:t xml:space="preserve">, заключается в электронной форме и подписывается усиленной квалифицированной электронной подписью сторон такого договора.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Победитель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обя</w:t>
      </w:r>
      <w:r>
        <w:rPr>
          <w:sz w:val="26"/>
          <w:szCs w:val="26"/>
        </w:rPr>
        <w:t xml:space="preserve">зан заключить договор аренды </w:t>
      </w:r>
      <w:r>
        <w:rPr>
          <w:sz w:val="26"/>
          <w:szCs w:val="26"/>
        </w:rPr>
        <w:t xml:space="preserve">земельного</w:t>
      </w:r>
      <w:r>
        <w:rPr>
          <w:sz w:val="26"/>
          <w:szCs w:val="26"/>
        </w:rPr>
        <w:t xml:space="preserve"> участка </w:t>
      </w:r>
      <w:r>
        <w:rPr>
          <w:sz w:val="26"/>
          <w:szCs w:val="26"/>
        </w:rPr>
        <w:t xml:space="preserve">с министерством имущественных</w:t>
      </w:r>
      <w:r>
        <w:rPr>
          <w:sz w:val="26"/>
          <w:szCs w:val="26"/>
        </w:rPr>
        <w:t xml:space="preserve"> отношений Иркутской области не ранее </w:t>
      </w:r>
      <w:r>
        <w:rPr>
          <w:sz w:val="26"/>
          <w:szCs w:val="26"/>
        </w:rPr>
        <w:t xml:space="preserve">10 дней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 дня размещения информации о результатах аукциона на официальном сайте торгов РФ протокола о результатах электронного аукциона, </w:t>
      </w:r>
      <w:r>
        <w:rPr>
          <w:sz w:val="26"/>
          <w:szCs w:val="26"/>
        </w:rPr>
        <w:t xml:space="preserve">не позднее </w:t>
      </w:r>
      <w:r>
        <w:rPr>
          <w:sz w:val="26"/>
          <w:szCs w:val="26"/>
        </w:rPr>
        <w:t xml:space="preserve">10 рабочих дней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 дня со дня направления победителю аукциона проекта договора.  О</w:t>
      </w:r>
      <w:r>
        <w:rPr>
          <w:sz w:val="26"/>
          <w:szCs w:val="26"/>
        </w:rPr>
        <w:t xml:space="preserve">существить государственную регистрацию </w:t>
      </w:r>
      <w:r>
        <w:rPr>
          <w:sz w:val="26"/>
          <w:szCs w:val="26"/>
        </w:rPr>
        <w:t xml:space="preserve">перехода права собственности на земельный участок или </w:t>
      </w:r>
      <w:r>
        <w:rPr>
          <w:sz w:val="26"/>
          <w:szCs w:val="26"/>
        </w:rPr>
        <w:t xml:space="preserve">договора аренды земельного участка в порядке, установленном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обязан в течение </w:t>
      </w:r>
      <w:r>
        <w:rPr>
          <w:sz w:val="26"/>
          <w:szCs w:val="26"/>
        </w:rPr>
        <w:t xml:space="preserve">пяти дней со дня истечения срока, предусмотренного </w:t>
      </w:r>
      <w:hyperlink w:tooltip="#Par30" w:anchor="Par30" w:history="1">
        <w:r>
          <w:rPr>
            <w:sz w:val="26"/>
            <w:szCs w:val="26"/>
          </w:rPr>
          <w:t xml:space="preserve">пунктом 11</w:t>
        </w:r>
      </w:hyperlink>
      <w:r>
        <w:rPr>
          <w:sz w:val="26"/>
          <w:szCs w:val="26"/>
        </w:rPr>
        <w:t xml:space="preserve"> ст.39.13 Земельного кодекса Российской Федерации </w:t>
      </w:r>
      <w:r>
        <w:rPr>
          <w:sz w:val="26"/>
          <w:szCs w:val="26"/>
        </w:rPr>
        <w:t xml:space="preserve">настоящей статьи, направить победителю электронного аукциона или иным лицам, с которыми в соответствии с </w:t>
      </w:r>
      <w:hyperlink r:id="rId2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2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2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2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Земельного кодекса Российской Федерации </w:t>
      </w:r>
      <w:r>
        <w:rPr>
          <w:sz w:val="26"/>
          <w:szCs w:val="26"/>
        </w:rPr>
        <w:t xml:space="preserve">заключается договор купли-продажи земельного участка, находящегося в государств</w:t>
      </w:r>
      <w:r>
        <w:rPr>
          <w:sz w:val="26"/>
          <w:szCs w:val="26"/>
        </w:rPr>
        <w:t xml:space="preserve">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</w:t>
      </w:r>
      <w:r>
        <w:rPr>
          <w:rFonts w:ascii="Times New Roman" w:hAnsi="Times New Roman" w:cs="Times New Roman"/>
          <w:sz w:val="26"/>
          <w:szCs w:val="26"/>
        </w:rPr>
        <w:t xml:space="preserve">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случае, если в течение десяти рабочих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</w:t>
      </w:r>
      <w:r>
        <w:rPr>
          <w:rFonts w:ascii="Times New Roman" w:hAnsi="Times New Roman" w:cs="Times New Roman"/>
          <w:sz w:val="26"/>
          <w:szCs w:val="26"/>
        </w:rPr>
        <w:t xml:space="preserve">ка этот участник не представил в уполномоченный орган подписанные им договоры, уполномоченный орган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</w:t>
      </w:r>
      <w:hyperlink w:tooltip="13. 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" w:anchor="P134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13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14. Е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" w:anchor="P1353" w:history="1">
        <w:r>
          <w:rPr>
            <w:rFonts w:ascii="Times New Roman" w:hAnsi="Times New Roman" w:cs="Times New Roman"/>
            <w:sz w:val="26"/>
            <w:szCs w:val="26"/>
          </w:rPr>
          <w:t xml:space="preserve">14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20.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-продажи или проекта договора аренды земельного участка в пятидневный срок со дня составлени" w:anchor="P1381" w:history="1">
        <w:r>
          <w:rPr>
            <w:rFonts w:ascii="Times New Roman" w:hAnsi="Times New Roman" w:cs="Times New Roman"/>
            <w:sz w:val="26"/>
            <w:szCs w:val="26"/>
          </w:rPr>
          <w:t xml:space="preserve">20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или </w:t>
      </w:r>
      <w:hyperlink w:tooltip="25. 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" w:anchor="P1394" w:history="1">
        <w:r>
          <w:rPr>
            <w:rFonts w:ascii="Times New Roman" w:hAnsi="Times New Roman" w:cs="Times New Roman"/>
            <w:sz w:val="26"/>
            <w:szCs w:val="26"/>
          </w:rPr>
          <w:t xml:space="preserve">25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39.12 Земельного кодекса Российской Федерации, засчитываются в оплату приобретаемого земельного участка или </w:t>
      </w:r>
      <w:r>
        <w:rPr>
          <w:rFonts w:ascii="Times New Roman" w:hAnsi="Times New Roman" w:cs="Times New Roman"/>
          <w:sz w:val="26"/>
          <w:szCs w:val="26"/>
        </w:rPr>
        <w:t xml:space="preserve">в счет арендной платы за него. Задатки, внесенные этими лицами, не заключившими в установленном настоящей статьей порядке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61"/>
        <w:ind w:firstLine="708"/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Сведения о победителях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уклонившихся от заключения договора аренды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земельного участка, являющегося предметом аукциона, и об иных лицах, с которыми указанный договор заключается в соот</w:t>
      </w:r>
      <w:r>
        <w:rPr>
          <w:sz w:val="26"/>
          <w:szCs w:val="26"/>
        </w:rPr>
        <w:t xml:space="preserve">ветствии с пунктом 13, 14, 20 или 25</w:t>
      </w:r>
      <w:r>
        <w:rPr>
          <w:sz w:val="26"/>
          <w:szCs w:val="26"/>
        </w:rPr>
        <w:t xml:space="preserve"> статьи 39.12 Земельного кодекса Российской Федерации и которые уклонились от их заключения, включаются в реестр недобросовестных участников аукцион</w:t>
      </w:r>
      <w:r>
        <w:rPr>
          <w:sz w:val="26"/>
          <w:szCs w:val="26"/>
        </w:rPr>
        <w:t xml:space="preserve">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1"/>
        <w:ind w:firstLine="720"/>
        <w:spacing w:after="0"/>
        <w:rPr>
          <w:bCs/>
          <w:iCs/>
          <w:color w:val="ff0000"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1</w:t>
      </w:r>
      <w:r>
        <w:rPr>
          <w:b/>
          <w:bCs/>
          <w:iCs/>
          <w:sz w:val="26"/>
          <w:szCs w:val="26"/>
        </w:rPr>
        <w:t xml:space="preserve">5</w:t>
      </w:r>
      <w:r>
        <w:rPr>
          <w:b/>
          <w:bCs/>
          <w:iCs/>
          <w:sz w:val="26"/>
          <w:szCs w:val="26"/>
        </w:rPr>
        <w:t xml:space="preserve">. Заключительные положения</w:t>
      </w:r>
      <w:r>
        <w:rPr>
          <w:bCs/>
          <w:iCs/>
          <w:color w:val="ff0000"/>
          <w:sz w:val="26"/>
          <w:szCs w:val="26"/>
        </w:rPr>
      </w:r>
      <w:r>
        <w:rPr>
          <w:bCs/>
          <w:iCs/>
          <w:color w:val="ff0000"/>
          <w:sz w:val="26"/>
          <w:szCs w:val="26"/>
        </w:rPr>
      </w:r>
    </w:p>
    <w:p>
      <w:pPr>
        <w:pStyle w:val="861"/>
        <w:spacing w:after="0"/>
        <w:rPr>
          <w:sz w:val="26"/>
          <w:szCs w:val="26"/>
        </w:rPr>
      </w:pPr>
      <w:r>
        <w:rPr>
          <w:bCs/>
          <w:iCs/>
          <w:color w:val="ff0000"/>
          <w:sz w:val="26"/>
          <w:szCs w:val="26"/>
        </w:rPr>
        <w:tab/>
      </w:r>
      <w:r>
        <w:rPr>
          <w:iCs/>
          <w:sz w:val="26"/>
          <w:szCs w:val="26"/>
        </w:rPr>
        <w:t xml:space="preserve">Все вопросы, касающиеся проведения процедуры, не нашедшие отражения в </w:t>
      </w:r>
      <w:r>
        <w:rPr>
          <w:iCs/>
          <w:sz w:val="26"/>
          <w:szCs w:val="26"/>
        </w:rPr>
        <w:t xml:space="preserve">настоящем извещении, регулируются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Подробнее ознакомиться с объектом продажи, условиями проведения аукциона, подачи Заявки на участие в аукционе, в рабочие дни с 10.00 до 17.00 по теле</w:t>
      </w:r>
      <w:r>
        <w:rPr>
          <w:sz w:val="26"/>
          <w:szCs w:val="26"/>
        </w:rPr>
        <w:t xml:space="preserve">фону: 20-75-18 (</w:t>
      </w:r>
      <w:r>
        <w:rPr>
          <w:sz w:val="26"/>
          <w:szCs w:val="26"/>
        </w:rPr>
        <w:t xml:space="preserve">внутр</w:t>
      </w:r>
      <w:r>
        <w:rPr>
          <w:sz w:val="26"/>
          <w:szCs w:val="26"/>
        </w:rPr>
        <w:t xml:space="preserve">. номер 501, 502</w:t>
      </w:r>
      <w:r>
        <w:rPr>
          <w:sz w:val="26"/>
          <w:szCs w:val="26"/>
        </w:rPr>
        <w:t xml:space="preserve">), в Интернете по адресу: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 </w:t>
      </w:r>
      <w:r>
        <w:rPr>
          <w:bCs/>
          <w:sz w:val="26"/>
          <w:szCs w:val="26"/>
        </w:rPr>
        <w:t xml:space="preserve">на официальном сайте уполномоченного органа </w:t>
      </w:r>
      <w:hyperlink r:id="rId28" w:tooltip="http://www.mio.irkobl.ru" w:history="1">
        <w:r>
          <w:rPr>
            <w:rStyle w:val="868"/>
            <w:bCs/>
            <w:color w:val="auto"/>
            <w:sz w:val="26"/>
            <w:szCs w:val="26"/>
            <w:u w:val="none"/>
          </w:rPr>
          <w:t xml:space="preserve">www.mio.irkobl.</w:t>
        </w:r>
        <w:r>
          <w:rPr>
            <w:rStyle w:val="868"/>
            <w:bCs/>
            <w:color w:val="auto"/>
            <w:sz w:val="26"/>
            <w:szCs w:val="26"/>
            <w:u w:val="none"/>
            <w:lang w:val="en-US"/>
          </w:rPr>
          <w:t xml:space="preserve">r</w:t>
        </w:r>
        <w:r>
          <w:rPr>
            <w:rStyle w:val="868"/>
            <w:bCs/>
            <w:color w:val="auto"/>
            <w:sz w:val="26"/>
            <w:szCs w:val="26"/>
            <w:u w:val="none"/>
          </w:rPr>
          <w:t xml:space="preserve">u</w:t>
        </w:r>
      </w:hyperlink>
      <w:r>
        <w:rPr>
          <w:bCs/>
          <w:sz w:val="26"/>
          <w:szCs w:val="26"/>
        </w:rPr>
        <w:t xml:space="preserve">  и  сайте организатора аукциона www.irkfi. </w:t>
      </w:r>
      <w:r>
        <w:rPr>
          <w:bCs/>
          <w:sz w:val="26"/>
          <w:szCs w:val="26"/>
        </w:rPr>
        <w:t xml:space="preserve">ru</w:t>
      </w:r>
      <w:r>
        <w:rPr>
          <w:bCs/>
          <w:sz w:val="26"/>
          <w:szCs w:val="26"/>
          <w:u w:val="single"/>
        </w:rPr>
        <w:t xml:space="preserve">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61"/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61"/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59"/>
        <w:jc w:val="lef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59"/>
        <w:ind w:firstLine="54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Директор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  <w:t xml:space="preserve">              </w:t>
      </w:r>
      <w:r>
        <w:rPr>
          <w:color w:val="000000"/>
          <w:sz w:val="26"/>
          <w:szCs w:val="26"/>
        </w:rPr>
        <w:t xml:space="preserve">                                           А.Б. Чен-Юн-Тай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59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</w:p>
    <w:p>
      <w:pPr>
        <w:pStyle w:val="859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</w:p>
    <w:p>
      <w:pPr>
        <w:rPr>
          <w:bCs/>
          <w:sz w:val="26"/>
          <w:szCs w:val="26"/>
        </w:rPr>
      </w:pP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sectPr>
      <w:footnotePr/>
      <w:endnotePr/>
      <w:type w:val="nextPage"/>
      <w:pgSz w:w="11906" w:h="16838" w:orient="portrait"/>
      <w:pgMar w:top="568" w:right="849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2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5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5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531" w:hanging="128"/>
      </w:pPr>
      <w:rPr>
        <w:rFonts w:hint="default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600" w:hanging="12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661" w:hanging="12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721" w:hanging="12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782" w:hanging="12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843" w:hanging="12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903" w:hanging="12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964" w:hanging="12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9025" w:hanging="128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203" w:hanging="495"/>
      </w:pPr>
      <w:rPr>
        <w:rFonts w:hint="default" w:cs="Times New Roman"/>
        <w:b/>
      </w:rPr>
    </w:lvl>
    <w:lvl w:ilvl="2">
      <w:start w:val="1"/>
      <w:numFmt w:val="decimal"/>
      <w:isLgl/>
      <w:suff w:val="tab"/>
      <w:lvlText w:val="%1.%2.%3."/>
      <w:lvlJc w:val="left"/>
      <w:pPr>
        <w:ind w:left="1776" w:hanging="720"/>
      </w:pPr>
      <w:rPr>
        <w:rFonts w:hint="default" w:cs="Times New Roman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2124" w:hanging="720"/>
      </w:pPr>
      <w:rPr>
        <w:rFonts w:hint="default" w:cs="Times New Roman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2832" w:hanging="1080"/>
      </w:pPr>
      <w:rPr>
        <w:rFonts w:hint="default" w:cs="Times New Roman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3180" w:hanging="1080"/>
      </w:pPr>
      <w:rPr>
        <w:rFonts w:hint="default" w:cs="Times New Roman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3888" w:hanging="1440"/>
      </w:pPr>
      <w:rPr>
        <w:rFonts w:hint="default" w:cs="Times New Roman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36" w:hanging="1440"/>
      </w:pPr>
      <w:rPr>
        <w:rFonts w:hint="default" w:cs="Times New Roman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44" w:hanging="1800"/>
      </w:pPr>
      <w:rPr>
        <w:rFonts w:hint="default" w:cs="Times New Roman"/>
        <w:b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egacy w:legacy="1" w:legacyIndent="302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3">
    <w:multiLevelType w:val="hybridMultilevel"/>
    <w:lvl w:ilvl="0">
      <w:start w:val="5"/>
      <w:numFmt w:val="decimal"/>
      <w:isLgl w:val="false"/>
      <w:suff w:val="tab"/>
      <w:lvlText w:val="4.%1."/>
      <w:legacy w:legacy="1" w:legacyIndent="518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13"/>
  </w:num>
  <w:num w:numId="8">
    <w:abstractNumId w:val="10"/>
  </w:num>
  <w:num w:numId="9">
    <w:abstractNumId w:val="8"/>
  </w:num>
  <w:num w:numId="10">
    <w:abstractNumId w:val="2"/>
  </w:num>
  <w:num w:numId="11">
    <w:abstractNumId w:val="12"/>
  </w:num>
  <w:num w:numId="12">
    <w:abstractNumId w:val="9"/>
  </w:num>
  <w:num w:numId="13">
    <w:abstractNumId w:val="7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2">
    <w:name w:val="Heading 1"/>
    <w:basedOn w:val="855"/>
    <w:next w:val="855"/>
    <w:link w:val="68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3">
    <w:name w:val="Heading 1 Char"/>
    <w:basedOn w:val="856"/>
    <w:link w:val="682"/>
    <w:uiPriority w:val="9"/>
    <w:rPr>
      <w:rFonts w:ascii="Arial" w:hAnsi="Arial" w:eastAsia="Arial" w:cs="Arial"/>
      <w:sz w:val="40"/>
      <w:szCs w:val="40"/>
    </w:rPr>
  </w:style>
  <w:style w:type="paragraph" w:styleId="684">
    <w:name w:val="Heading 2"/>
    <w:basedOn w:val="855"/>
    <w:next w:val="855"/>
    <w:link w:val="68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5">
    <w:name w:val="Heading 2 Char"/>
    <w:basedOn w:val="856"/>
    <w:link w:val="684"/>
    <w:uiPriority w:val="9"/>
    <w:rPr>
      <w:rFonts w:ascii="Arial" w:hAnsi="Arial" w:eastAsia="Arial" w:cs="Arial"/>
      <w:sz w:val="34"/>
    </w:rPr>
  </w:style>
  <w:style w:type="paragraph" w:styleId="686">
    <w:name w:val="Heading 3"/>
    <w:basedOn w:val="855"/>
    <w:next w:val="855"/>
    <w:link w:val="68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7">
    <w:name w:val="Heading 3 Char"/>
    <w:basedOn w:val="856"/>
    <w:link w:val="686"/>
    <w:uiPriority w:val="9"/>
    <w:rPr>
      <w:rFonts w:ascii="Arial" w:hAnsi="Arial" w:eastAsia="Arial" w:cs="Arial"/>
      <w:sz w:val="30"/>
      <w:szCs w:val="30"/>
    </w:rPr>
  </w:style>
  <w:style w:type="paragraph" w:styleId="688">
    <w:name w:val="Heading 4"/>
    <w:basedOn w:val="855"/>
    <w:next w:val="855"/>
    <w:link w:val="68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9">
    <w:name w:val="Heading 4 Char"/>
    <w:basedOn w:val="856"/>
    <w:link w:val="688"/>
    <w:uiPriority w:val="9"/>
    <w:rPr>
      <w:rFonts w:ascii="Arial" w:hAnsi="Arial" w:eastAsia="Arial" w:cs="Arial"/>
      <w:b/>
      <w:bCs/>
      <w:sz w:val="26"/>
      <w:szCs w:val="26"/>
    </w:rPr>
  </w:style>
  <w:style w:type="paragraph" w:styleId="690">
    <w:name w:val="Heading 5"/>
    <w:basedOn w:val="855"/>
    <w:next w:val="855"/>
    <w:link w:val="69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1">
    <w:name w:val="Heading 5 Char"/>
    <w:basedOn w:val="856"/>
    <w:link w:val="690"/>
    <w:uiPriority w:val="9"/>
    <w:rPr>
      <w:rFonts w:ascii="Arial" w:hAnsi="Arial" w:eastAsia="Arial" w:cs="Arial"/>
      <w:b/>
      <w:bCs/>
      <w:sz w:val="24"/>
      <w:szCs w:val="24"/>
    </w:rPr>
  </w:style>
  <w:style w:type="paragraph" w:styleId="692">
    <w:name w:val="Heading 6"/>
    <w:basedOn w:val="855"/>
    <w:next w:val="855"/>
    <w:link w:val="69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3">
    <w:name w:val="Heading 6 Char"/>
    <w:basedOn w:val="856"/>
    <w:link w:val="692"/>
    <w:uiPriority w:val="9"/>
    <w:rPr>
      <w:rFonts w:ascii="Arial" w:hAnsi="Arial" w:eastAsia="Arial" w:cs="Arial"/>
      <w:b/>
      <w:bCs/>
      <w:sz w:val="22"/>
      <w:szCs w:val="22"/>
    </w:rPr>
  </w:style>
  <w:style w:type="paragraph" w:styleId="694">
    <w:name w:val="Heading 7"/>
    <w:basedOn w:val="855"/>
    <w:next w:val="855"/>
    <w:link w:val="69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5">
    <w:name w:val="Heading 7 Char"/>
    <w:basedOn w:val="856"/>
    <w:link w:val="69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6">
    <w:name w:val="Heading 8"/>
    <w:basedOn w:val="855"/>
    <w:next w:val="855"/>
    <w:link w:val="69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7">
    <w:name w:val="Heading 8 Char"/>
    <w:basedOn w:val="856"/>
    <w:link w:val="696"/>
    <w:uiPriority w:val="9"/>
    <w:rPr>
      <w:rFonts w:ascii="Arial" w:hAnsi="Arial" w:eastAsia="Arial" w:cs="Arial"/>
      <w:i/>
      <w:iCs/>
      <w:sz w:val="22"/>
      <w:szCs w:val="22"/>
    </w:rPr>
  </w:style>
  <w:style w:type="paragraph" w:styleId="698">
    <w:name w:val="Heading 9"/>
    <w:basedOn w:val="855"/>
    <w:next w:val="855"/>
    <w:link w:val="69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9">
    <w:name w:val="Heading 9 Char"/>
    <w:basedOn w:val="856"/>
    <w:link w:val="698"/>
    <w:uiPriority w:val="9"/>
    <w:rPr>
      <w:rFonts w:ascii="Arial" w:hAnsi="Arial" w:eastAsia="Arial" w:cs="Arial"/>
      <w:i/>
      <w:iCs/>
      <w:sz w:val="21"/>
      <w:szCs w:val="21"/>
    </w:rPr>
  </w:style>
  <w:style w:type="paragraph" w:styleId="700">
    <w:name w:val="No Spacing"/>
    <w:uiPriority w:val="1"/>
    <w:qFormat/>
    <w:pPr>
      <w:spacing w:before="0" w:after="0" w:line="240" w:lineRule="auto"/>
    </w:pPr>
  </w:style>
  <w:style w:type="character" w:styleId="701">
    <w:name w:val="Title Char"/>
    <w:basedOn w:val="856"/>
    <w:link w:val="859"/>
    <w:uiPriority w:val="10"/>
    <w:rPr>
      <w:sz w:val="48"/>
      <w:szCs w:val="48"/>
    </w:rPr>
  </w:style>
  <w:style w:type="paragraph" w:styleId="702">
    <w:name w:val="Subtitle"/>
    <w:basedOn w:val="855"/>
    <w:next w:val="855"/>
    <w:link w:val="703"/>
    <w:uiPriority w:val="11"/>
    <w:qFormat/>
    <w:pPr>
      <w:spacing w:before="200" w:after="200"/>
    </w:pPr>
    <w:rPr>
      <w:sz w:val="24"/>
      <w:szCs w:val="24"/>
    </w:rPr>
  </w:style>
  <w:style w:type="character" w:styleId="703">
    <w:name w:val="Subtitle Char"/>
    <w:basedOn w:val="856"/>
    <w:link w:val="702"/>
    <w:uiPriority w:val="11"/>
    <w:rPr>
      <w:sz w:val="24"/>
      <w:szCs w:val="24"/>
    </w:rPr>
  </w:style>
  <w:style w:type="paragraph" w:styleId="704">
    <w:name w:val="Quote"/>
    <w:basedOn w:val="855"/>
    <w:next w:val="855"/>
    <w:link w:val="705"/>
    <w:uiPriority w:val="29"/>
    <w:qFormat/>
    <w:pPr>
      <w:ind w:left="720" w:right="720"/>
    </w:pPr>
    <w:rPr>
      <w:i/>
    </w:rPr>
  </w:style>
  <w:style w:type="character" w:styleId="705">
    <w:name w:val="Quote Char"/>
    <w:link w:val="704"/>
    <w:uiPriority w:val="29"/>
    <w:rPr>
      <w:i/>
    </w:rPr>
  </w:style>
  <w:style w:type="paragraph" w:styleId="706">
    <w:name w:val="Intense Quote"/>
    <w:basedOn w:val="855"/>
    <w:next w:val="855"/>
    <w:link w:val="70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7">
    <w:name w:val="Intense Quote Char"/>
    <w:link w:val="706"/>
    <w:uiPriority w:val="30"/>
    <w:rPr>
      <w:i/>
    </w:rPr>
  </w:style>
  <w:style w:type="paragraph" w:styleId="708">
    <w:name w:val="Header"/>
    <w:basedOn w:val="855"/>
    <w:link w:val="70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9">
    <w:name w:val="Header Char"/>
    <w:basedOn w:val="856"/>
    <w:link w:val="708"/>
    <w:uiPriority w:val="99"/>
  </w:style>
  <w:style w:type="paragraph" w:styleId="710">
    <w:name w:val="Footer"/>
    <w:basedOn w:val="855"/>
    <w:link w:val="71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1">
    <w:name w:val="Footer Char"/>
    <w:basedOn w:val="856"/>
    <w:link w:val="710"/>
    <w:uiPriority w:val="99"/>
  </w:style>
  <w:style w:type="character" w:styleId="712">
    <w:name w:val="Caption Char"/>
    <w:basedOn w:val="856"/>
    <w:link w:val="887"/>
    <w:uiPriority w:val="35"/>
    <w:rPr>
      <w:b/>
      <w:bCs/>
      <w:color w:val="4f81bd" w:themeColor="accent1"/>
      <w:sz w:val="18"/>
      <w:szCs w:val="18"/>
    </w:rPr>
  </w:style>
  <w:style w:type="table" w:styleId="713">
    <w:name w:val="Table Grid Light"/>
    <w:basedOn w:val="8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4">
    <w:name w:val="Plain Table 1"/>
    <w:basedOn w:val="8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2"/>
    <w:basedOn w:val="85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6">
    <w:name w:val="Plain Table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7">
    <w:name w:val="Plain Table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Plain Table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9">
    <w:name w:val="Grid Table 1 Light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4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1">
    <w:name w:val="Grid Table 4 - Accent 1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2">
    <w:name w:val="Grid Table 4 - Accent 2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3">
    <w:name w:val="Grid Table 4 - Accent 3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4">
    <w:name w:val="Grid Table 4 - Accent 4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5">
    <w:name w:val="Grid Table 4 - Accent 5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6">
    <w:name w:val="Grid Table 4 - Accent 6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7">
    <w:name w:val="Grid Table 5 Dark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1">
    <w:name w:val="Grid Table 5 Dark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3">
    <w:name w:val="Grid Table 5 Dark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4">
    <w:name w:val="Grid Table 6 Colorful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5">
    <w:name w:val="Grid Table 6 Colorful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6">
    <w:name w:val="Grid Table 6 Colorful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7">
    <w:name w:val="Grid Table 6 Colorful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8">
    <w:name w:val="Grid Table 6 Colorful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9">
    <w:name w:val="Grid Table 6 Colorful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0">
    <w:name w:val="Grid Table 6 Colorful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1">
    <w:name w:val="Grid Table 7 Colorful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6">
    <w:name w:val="List Table 2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7">
    <w:name w:val="List Table 2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8">
    <w:name w:val="List Table 2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9">
    <w:name w:val="List Table 2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0">
    <w:name w:val="List Table 2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1">
    <w:name w:val="List Table 2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2">
    <w:name w:val="List Table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5 Dark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6 Colorful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4">
    <w:name w:val="List Table 6 Colorful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5">
    <w:name w:val="List Table 6 Colorful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6">
    <w:name w:val="List Table 6 Colorful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7">
    <w:name w:val="List Table 6 Colorful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8">
    <w:name w:val="List Table 6 Colorful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9">
    <w:name w:val="List Table 6 Colorful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0">
    <w:name w:val="List Table 7 Colorful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1">
    <w:name w:val="List Table 7 Colorful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2">
    <w:name w:val="List Table 7 Colorful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3">
    <w:name w:val="List Table 7 Colorful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4">
    <w:name w:val="List Table 7 Colorful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5">
    <w:name w:val="List Table 7 Colorful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6">
    <w:name w:val="List Table 7 Colorful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7">
    <w:name w:val="Lined - Accent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8">
    <w:name w:val="Lined - Accent 1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9">
    <w:name w:val="Lined - Accent 2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0">
    <w:name w:val="Lined - Accent 3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1">
    <w:name w:val="Lined - Accent 4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2">
    <w:name w:val="Lined - Accent 5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3">
    <w:name w:val="Lined - Accent 6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4">
    <w:name w:val="Bordered &amp; Lined - Accent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5">
    <w:name w:val="Bordered &amp; Lined - Accent 1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6">
    <w:name w:val="Bordered &amp; Lined - Accent 2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7">
    <w:name w:val="Bordered &amp; Lined - Accent 3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8">
    <w:name w:val="Bordered &amp; Lined - Accent 4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9">
    <w:name w:val="Bordered &amp; Lined - Accent 5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0">
    <w:name w:val="Bordered &amp; Lined - Accent 6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1">
    <w:name w:val="Bordered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2">
    <w:name w:val="Bordered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3">
    <w:name w:val="Bordered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4">
    <w:name w:val="Bordered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5">
    <w:name w:val="Bordered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6">
    <w:name w:val="Bordered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7">
    <w:name w:val="Bordered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8">
    <w:name w:val="footnote text"/>
    <w:basedOn w:val="855"/>
    <w:link w:val="839"/>
    <w:uiPriority w:val="99"/>
    <w:semiHidden/>
    <w:unhideWhenUsed/>
    <w:pPr>
      <w:spacing w:after="40" w:line="240" w:lineRule="auto"/>
    </w:pPr>
    <w:rPr>
      <w:sz w:val="18"/>
    </w:rPr>
  </w:style>
  <w:style w:type="character" w:styleId="839">
    <w:name w:val="Footnote Text Char"/>
    <w:link w:val="838"/>
    <w:uiPriority w:val="99"/>
    <w:rPr>
      <w:sz w:val="18"/>
    </w:rPr>
  </w:style>
  <w:style w:type="character" w:styleId="840">
    <w:name w:val="footnote reference"/>
    <w:basedOn w:val="856"/>
    <w:uiPriority w:val="99"/>
    <w:unhideWhenUsed/>
    <w:rPr>
      <w:vertAlign w:val="superscript"/>
    </w:rPr>
  </w:style>
  <w:style w:type="paragraph" w:styleId="841">
    <w:name w:val="endnote text"/>
    <w:basedOn w:val="855"/>
    <w:link w:val="842"/>
    <w:uiPriority w:val="99"/>
    <w:semiHidden/>
    <w:unhideWhenUsed/>
    <w:pPr>
      <w:spacing w:after="0" w:line="240" w:lineRule="auto"/>
    </w:pPr>
    <w:rPr>
      <w:sz w:val="20"/>
    </w:rPr>
  </w:style>
  <w:style w:type="character" w:styleId="842">
    <w:name w:val="Endnote Text Char"/>
    <w:link w:val="841"/>
    <w:uiPriority w:val="99"/>
    <w:rPr>
      <w:sz w:val="20"/>
    </w:rPr>
  </w:style>
  <w:style w:type="character" w:styleId="843">
    <w:name w:val="endnote reference"/>
    <w:basedOn w:val="856"/>
    <w:uiPriority w:val="99"/>
    <w:semiHidden/>
    <w:unhideWhenUsed/>
    <w:rPr>
      <w:vertAlign w:val="superscript"/>
    </w:rPr>
  </w:style>
  <w:style w:type="paragraph" w:styleId="844">
    <w:name w:val="toc 1"/>
    <w:basedOn w:val="855"/>
    <w:next w:val="855"/>
    <w:uiPriority w:val="39"/>
    <w:unhideWhenUsed/>
    <w:pPr>
      <w:ind w:left="0" w:right="0" w:firstLine="0"/>
      <w:spacing w:after="57"/>
    </w:pPr>
  </w:style>
  <w:style w:type="paragraph" w:styleId="845">
    <w:name w:val="toc 2"/>
    <w:basedOn w:val="855"/>
    <w:next w:val="855"/>
    <w:uiPriority w:val="39"/>
    <w:unhideWhenUsed/>
    <w:pPr>
      <w:ind w:left="283" w:right="0" w:firstLine="0"/>
      <w:spacing w:after="57"/>
    </w:pPr>
  </w:style>
  <w:style w:type="paragraph" w:styleId="846">
    <w:name w:val="toc 3"/>
    <w:basedOn w:val="855"/>
    <w:next w:val="855"/>
    <w:uiPriority w:val="39"/>
    <w:unhideWhenUsed/>
    <w:pPr>
      <w:ind w:left="567" w:right="0" w:firstLine="0"/>
      <w:spacing w:after="57"/>
    </w:pPr>
  </w:style>
  <w:style w:type="paragraph" w:styleId="847">
    <w:name w:val="toc 4"/>
    <w:basedOn w:val="855"/>
    <w:next w:val="855"/>
    <w:uiPriority w:val="39"/>
    <w:unhideWhenUsed/>
    <w:pPr>
      <w:ind w:left="850" w:right="0" w:firstLine="0"/>
      <w:spacing w:after="57"/>
    </w:pPr>
  </w:style>
  <w:style w:type="paragraph" w:styleId="848">
    <w:name w:val="toc 5"/>
    <w:basedOn w:val="855"/>
    <w:next w:val="855"/>
    <w:uiPriority w:val="39"/>
    <w:unhideWhenUsed/>
    <w:pPr>
      <w:ind w:left="1134" w:right="0" w:firstLine="0"/>
      <w:spacing w:after="57"/>
    </w:pPr>
  </w:style>
  <w:style w:type="paragraph" w:styleId="849">
    <w:name w:val="toc 6"/>
    <w:basedOn w:val="855"/>
    <w:next w:val="855"/>
    <w:uiPriority w:val="39"/>
    <w:unhideWhenUsed/>
    <w:pPr>
      <w:ind w:left="1417" w:right="0" w:firstLine="0"/>
      <w:spacing w:after="57"/>
    </w:pPr>
  </w:style>
  <w:style w:type="paragraph" w:styleId="850">
    <w:name w:val="toc 7"/>
    <w:basedOn w:val="855"/>
    <w:next w:val="855"/>
    <w:uiPriority w:val="39"/>
    <w:unhideWhenUsed/>
    <w:pPr>
      <w:ind w:left="1701" w:right="0" w:firstLine="0"/>
      <w:spacing w:after="57"/>
    </w:pPr>
  </w:style>
  <w:style w:type="paragraph" w:styleId="851">
    <w:name w:val="toc 8"/>
    <w:basedOn w:val="855"/>
    <w:next w:val="855"/>
    <w:uiPriority w:val="39"/>
    <w:unhideWhenUsed/>
    <w:pPr>
      <w:ind w:left="1984" w:right="0" w:firstLine="0"/>
      <w:spacing w:after="57"/>
    </w:pPr>
  </w:style>
  <w:style w:type="paragraph" w:styleId="852">
    <w:name w:val="toc 9"/>
    <w:basedOn w:val="855"/>
    <w:next w:val="855"/>
    <w:uiPriority w:val="39"/>
    <w:unhideWhenUsed/>
    <w:pPr>
      <w:ind w:left="2268" w:right="0" w:firstLine="0"/>
      <w:spacing w:after="57"/>
    </w:pPr>
  </w:style>
  <w:style w:type="paragraph" w:styleId="853">
    <w:name w:val="TOC Heading"/>
    <w:uiPriority w:val="39"/>
    <w:unhideWhenUsed/>
  </w:style>
  <w:style w:type="paragraph" w:styleId="854">
    <w:name w:val="table of figures"/>
    <w:basedOn w:val="855"/>
    <w:next w:val="855"/>
    <w:uiPriority w:val="99"/>
    <w:unhideWhenUsed/>
    <w:pPr>
      <w:spacing w:after="0" w:afterAutospacing="0"/>
    </w:pPr>
  </w:style>
  <w:style w:type="paragraph" w:styleId="855" w:default="1">
    <w:name w:val="Normal"/>
    <w:qFormat/>
    <w:rPr>
      <w:sz w:val="24"/>
      <w:szCs w:val="24"/>
    </w:rPr>
  </w:style>
  <w:style w:type="character" w:styleId="856" w:default="1">
    <w:name w:val="Default Paragraph Font"/>
    <w:uiPriority w:val="1"/>
    <w:semiHidden/>
    <w:unhideWhenUsed/>
  </w:style>
  <w:style w:type="table" w:styleId="85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8" w:default="1">
    <w:name w:val="No List"/>
    <w:uiPriority w:val="99"/>
    <w:semiHidden/>
    <w:unhideWhenUsed/>
  </w:style>
  <w:style w:type="paragraph" w:styleId="859">
    <w:name w:val="Title"/>
    <w:basedOn w:val="855"/>
    <w:link w:val="875"/>
    <w:uiPriority w:val="99"/>
    <w:qFormat/>
    <w:pPr>
      <w:jc w:val="center"/>
    </w:pPr>
    <w:rPr>
      <w:bCs/>
      <w:szCs w:val="20"/>
    </w:rPr>
  </w:style>
  <w:style w:type="paragraph" w:styleId="860" w:customStyle="1">
    <w:name w:val="ConsPlusTitle"/>
    <w:rPr>
      <w:b/>
      <w:bCs/>
      <w:sz w:val="24"/>
      <w:szCs w:val="24"/>
    </w:rPr>
  </w:style>
  <w:style w:type="paragraph" w:styleId="861">
    <w:name w:val="Body Text"/>
    <w:basedOn w:val="855"/>
    <w:link w:val="867"/>
    <w:pPr>
      <w:jc w:val="both"/>
      <w:spacing w:after="120"/>
      <w:widowControl w:val="off"/>
    </w:pPr>
    <w:rPr>
      <w:sz w:val="28"/>
      <w:szCs w:val="20"/>
    </w:rPr>
  </w:style>
  <w:style w:type="paragraph" w:styleId="862" w:customStyle="1">
    <w:name w:val="Таблицы (моноширинный)"/>
    <w:basedOn w:val="855"/>
    <w:next w:val="855"/>
    <w:pPr>
      <w:jc w:val="both"/>
      <w:widowControl w:val="off"/>
    </w:pPr>
    <w:rPr>
      <w:rFonts w:ascii="Courier New" w:hAnsi="Courier New" w:cs="Courier New"/>
      <w:sz w:val="20"/>
      <w:szCs w:val="20"/>
    </w:rPr>
  </w:style>
  <w:style w:type="paragraph" w:styleId="863">
    <w:name w:val="Body Text 2"/>
    <w:basedOn w:val="855"/>
    <w:link w:val="878"/>
    <w:rPr>
      <w:sz w:val="26"/>
      <w:szCs w:val="20"/>
    </w:rPr>
  </w:style>
  <w:style w:type="paragraph" w:styleId="864">
    <w:name w:val="Body Text Indent"/>
    <w:basedOn w:val="855"/>
    <w:link w:val="876"/>
    <w:pPr>
      <w:ind w:firstLine="360"/>
    </w:pPr>
    <w:rPr>
      <w:sz w:val="26"/>
      <w:szCs w:val="20"/>
    </w:rPr>
  </w:style>
  <w:style w:type="paragraph" w:styleId="865">
    <w:name w:val="Body Text Indent 2"/>
    <w:basedOn w:val="855"/>
    <w:link w:val="877"/>
    <w:pPr>
      <w:ind w:firstLine="709"/>
      <w:jc w:val="both"/>
    </w:pPr>
    <w:rPr>
      <w:sz w:val="28"/>
      <w:szCs w:val="20"/>
    </w:rPr>
  </w:style>
  <w:style w:type="paragraph" w:styleId="866" w:customStyle="1">
    <w:name w:val="ConsPlusNonformat"/>
    <w:rPr>
      <w:rFonts w:ascii="Courier New" w:hAnsi="Courier New" w:cs="Courier New"/>
    </w:rPr>
  </w:style>
  <w:style w:type="character" w:styleId="867" w:customStyle="1">
    <w:name w:val="Основной текст Знак"/>
    <w:basedOn w:val="856"/>
    <w:link w:val="861"/>
    <w:rPr>
      <w:rFonts w:cs="Times New Roman"/>
      <w:sz w:val="28"/>
      <w:lang w:val="ru-RU" w:eastAsia="ru-RU" w:bidi="ar-SA"/>
    </w:rPr>
  </w:style>
  <w:style w:type="character" w:styleId="868">
    <w:name w:val="Hyperlink"/>
    <w:basedOn w:val="856"/>
    <w:rPr>
      <w:rFonts w:cs="Times New Roman"/>
      <w:color w:val="0000ff"/>
      <w:u w:val="single"/>
    </w:rPr>
  </w:style>
  <w:style w:type="paragraph" w:styleId="869">
    <w:name w:val="Balloon Text"/>
    <w:basedOn w:val="855"/>
    <w:semiHidden/>
    <w:rPr>
      <w:rFonts w:ascii="Tahoma" w:hAnsi="Tahoma" w:cs="Tahoma"/>
      <w:sz w:val="16"/>
      <w:szCs w:val="16"/>
    </w:rPr>
  </w:style>
  <w:style w:type="paragraph" w:styleId="870" w:customStyle="1">
    <w:name w:val="ConsPlusNormal"/>
    <w:pPr>
      <w:ind w:firstLine="720"/>
    </w:pPr>
    <w:rPr>
      <w:rFonts w:ascii="Arial" w:hAnsi="Arial" w:cs="Arial"/>
    </w:rPr>
  </w:style>
  <w:style w:type="paragraph" w:styleId="871" w:customStyle="1">
    <w:name w:val="Style3"/>
    <w:basedOn w:val="855"/>
    <w:pPr>
      <w:ind w:firstLine="706"/>
      <w:jc w:val="both"/>
      <w:spacing w:line="322" w:lineRule="exact"/>
      <w:widowControl w:val="off"/>
    </w:pPr>
  </w:style>
  <w:style w:type="character" w:styleId="872" w:customStyle="1">
    <w:name w:val="Font Style11"/>
    <w:basedOn w:val="856"/>
    <w:rPr>
      <w:rFonts w:ascii="Times New Roman" w:hAnsi="Times New Roman" w:cs="Times New Roman"/>
      <w:b/>
      <w:bCs/>
      <w:sz w:val="26"/>
      <w:szCs w:val="26"/>
    </w:rPr>
  </w:style>
  <w:style w:type="character" w:styleId="873" w:customStyle="1">
    <w:name w:val="Font Style12"/>
    <w:basedOn w:val="856"/>
    <w:rPr>
      <w:rFonts w:ascii="Times New Roman" w:hAnsi="Times New Roman" w:cs="Times New Roman"/>
      <w:sz w:val="26"/>
      <w:szCs w:val="26"/>
    </w:rPr>
  </w:style>
  <w:style w:type="character" w:styleId="874" w:customStyle="1">
    <w:name w:val="Основной текст + Полужирный"/>
    <w:basedOn w:val="856"/>
    <w:rPr>
      <w:rFonts w:ascii="Times New Roman" w:hAnsi="Times New Roman" w:cs="Times New Roman"/>
      <w:b/>
      <w:bCs/>
      <w:spacing w:val="0"/>
      <w:sz w:val="18"/>
      <w:szCs w:val="18"/>
    </w:rPr>
  </w:style>
  <w:style w:type="character" w:styleId="875" w:customStyle="1">
    <w:name w:val="Заголовок Знак"/>
    <w:basedOn w:val="856"/>
    <w:link w:val="859"/>
    <w:uiPriority w:val="99"/>
    <w:rPr>
      <w:rFonts w:cs="Times New Roman"/>
      <w:bCs/>
      <w:sz w:val="24"/>
    </w:rPr>
  </w:style>
  <w:style w:type="character" w:styleId="876" w:customStyle="1">
    <w:name w:val="Основной текст с отступом Знак"/>
    <w:basedOn w:val="856"/>
    <w:link w:val="864"/>
    <w:rPr>
      <w:rFonts w:cs="Times New Roman"/>
      <w:sz w:val="26"/>
    </w:rPr>
  </w:style>
  <w:style w:type="character" w:styleId="877" w:customStyle="1">
    <w:name w:val="Основной текст с отступом 2 Знак"/>
    <w:basedOn w:val="856"/>
    <w:link w:val="865"/>
    <w:rPr>
      <w:rFonts w:cs="Times New Roman"/>
      <w:sz w:val="28"/>
    </w:rPr>
  </w:style>
  <w:style w:type="character" w:styleId="878" w:customStyle="1">
    <w:name w:val="Основной текст 2 Знак"/>
    <w:link w:val="863"/>
    <w:rPr>
      <w:sz w:val="26"/>
    </w:rPr>
  </w:style>
  <w:style w:type="paragraph" w:styleId="879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880" w:customStyle="1">
    <w:name w:val="Абзац списка1"/>
    <w:basedOn w:val="855"/>
    <w:pPr>
      <w:ind w:left="72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881" w:customStyle="1">
    <w:name w:val="s_13"/>
    <w:basedOn w:val="855"/>
    <w:pPr>
      <w:ind w:firstLine="720"/>
    </w:pPr>
  </w:style>
  <w:style w:type="paragraph" w:styleId="882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883" w:customStyle="1">
    <w:name w:val="Без интервала2"/>
    <w:rPr>
      <w:rFonts w:ascii="Calibri" w:hAnsi="Calibri"/>
      <w:sz w:val="22"/>
      <w:szCs w:val="22"/>
      <w:lang w:eastAsia="en-US"/>
    </w:rPr>
  </w:style>
  <w:style w:type="paragraph" w:styleId="884">
    <w:name w:val="Body Text 3"/>
    <w:basedOn w:val="855"/>
    <w:link w:val="885"/>
    <w:pPr>
      <w:spacing w:after="120"/>
    </w:pPr>
    <w:rPr>
      <w:sz w:val="16"/>
      <w:szCs w:val="16"/>
    </w:rPr>
  </w:style>
  <w:style w:type="character" w:styleId="885" w:customStyle="1">
    <w:name w:val="Основной текст 3 Знак"/>
    <w:basedOn w:val="856"/>
    <w:link w:val="884"/>
    <w:rPr>
      <w:sz w:val="16"/>
      <w:szCs w:val="16"/>
    </w:rPr>
  </w:style>
  <w:style w:type="paragraph" w:styleId="886">
    <w:name w:val="List Paragraph"/>
    <w:basedOn w:val="855"/>
    <w:link w:val="892"/>
    <w:uiPriority w:val="34"/>
    <w:qFormat/>
    <w:pPr>
      <w:contextualSpacing/>
      <w:ind w:left="720"/>
    </w:pPr>
  </w:style>
  <w:style w:type="paragraph" w:styleId="887">
    <w:name w:val="Caption"/>
    <w:basedOn w:val="855"/>
    <w:next w:val="855"/>
    <w:link w:val="712"/>
    <w:semiHidden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styleId="888">
    <w:name w:val="Table Grid"/>
    <w:basedOn w:val="857"/>
    <w:uiPriority w:val="5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89" w:customStyle="1">
    <w:name w:val="Термин"/>
    <w:basedOn w:val="855"/>
    <w:pPr>
      <w:ind w:left="567"/>
      <w:jc w:val="both"/>
      <w:spacing w:line="100" w:lineRule="atLeast"/>
    </w:pPr>
    <w:rPr>
      <w:rFonts w:cs="Courier New"/>
      <w:sz w:val="26"/>
      <w:szCs w:val="20"/>
      <w:lang w:eastAsia="ar-SA"/>
    </w:rPr>
  </w:style>
  <w:style w:type="character" w:styleId="890" w:customStyle="1">
    <w:name w:val="WW8Num1z0"/>
  </w:style>
  <w:style w:type="character" w:styleId="891" w:customStyle="1">
    <w:name w:val="Основной шрифт абзаца1"/>
  </w:style>
  <w:style w:type="character" w:styleId="892" w:customStyle="1">
    <w:name w:val="Абзац списка Знак"/>
    <w:link w:val="886"/>
    <w:uiPriority w:val="34"/>
    <w:rPr>
      <w:sz w:val="24"/>
      <w:szCs w:val="24"/>
    </w:rPr>
  </w:style>
  <w:style w:type="character" w:styleId="893">
    <w:name w:val="Strong"/>
    <w:basedOn w:val="856"/>
    <w:uiPriority w:val="22"/>
    <w:qFormat/>
    <w:rPr>
      <w:b/>
      <w:bCs/>
    </w:rPr>
  </w:style>
  <w:style w:type="character" w:styleId="894">
    <w:name w:val="Emphasis"/>
    <w:uiPriority w:val="20"/>
    <w:qFormat/>
    <w:rPr>
      <w:rFonts w:cs="Times New Roman"/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sberbank-ast.ru" TargetMode="External"/><Relationship Id="rId11" Type="http://schemas.openxmlformats.org/officeDocument/2006/relationships/hyperlink" Target="http://sberbank-ast.ru" TargetMode="External"/><Relationship Id="rId12" Type="http://schemas.openxmlformats.org/officeDocument/2006/relationships/hyperlink" Target="mailto:info@sberbank-ast.ru" TargetMode="External"/><Relationship Id="rId13" Type="http://schemas.openxmlformats.org/officeDocument/2006/relationships/hyperlink" Target="http://sberbank-ast.ru" TargetMode="External"/><Relationship Id="rId1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1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1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1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18" Type="http://schemas.openxmlformats.org/officeDocument/2006/relationships/hyperlink" Target="http://sberbank-ast.ru" TargetMode="External"/><Relationship Id="rId19" Type="http://schemas.openxmlformats.org/officeDocument/2006/relationships/hyperlink" Target="http://sberbank-ast.ru" TargetMode="External"/><Relationship Id="rId20" Type="http://schemas.openxmlformats.org/officeDocument/2006/relationships/hyperlink" Target="http://sberbank-ast.ru" TargetMode="External"/><Relationship Id="rId21" Type="http://schemas.openxmlformats.org/officeDocument/2006/relationships/hyperlink" Target="consultantplus://offline/ref=ACBC04675D45A7319E4896355D993A4826746042F3CB2CBB1E8429029F34B456AD46430754CDA9B6A2FD79FD81QEfFJ" TargetMode="External"/><Relationship Id="rId22" Type="http://schemas.openxmlformats.org/officeDocument/2006/relationships/hyperlink" Target="http://sberbank-ast.ru" TargetMode="External"/><Relationship Id="rId23" Type="http://schemas.openxmlformats.org/officeDocument/2006/relationships/hyperlink" Target="http://www.mio.irkobl.ru" TargetMode="External"/><Relationship Id="rId2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2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2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2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28" Type="http://schemas.openxmlformats.org/officeDocument/2006/relationships/hyperlink" Target="http://www.mio.irkob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D03B6-426D-4351-B8BA-AE32053AD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Организация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manueva</cp:lastModifiedBy>
  <cp:revision>28</cp:revision>
  <dcterms:created xsi:type="dcterms:W3CDTF">2025-08-05T03:08:00Z</dcterms:created>
  <dcterms:modified xsi:type="dcterms:W3CDTF">2026-02-27T03:55:22Z</dcterms:modified>
</cp:coreProperties>
</file>