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5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540"/>
        <w:jc w:val="center"/>
        <w:rPr>
          <w:b/>
          <w:sz w:val="26"/>
          <w:szCs w:val="26"/>
        </w:rPr>
      </w:pPr>
      <w:r>
        <w:rPr>
          <w:b/>
          <w:bCs/>
          <w:sz w:val="26"/>
          <w:szCs w:val="26"/>
        </w:rPr>
        <w:t xml:space="preserve">Извещение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ind w:firstLine="5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о проведении повторного аукциона в электронной форме на пр</w:t>
      </w:r>
      <w:r>
        <w:rPr>
          <w:b/>
          <w:bCs/>
          <w:sz w:val="26"/>
          <w:szCs w:val="26"/>
        </w:rPr>
        <w:t xml:space="preserve">аво заключения договора аренды </w:t>
      </w:r>
      <w:r>
        <w:rPr>
          <w:b/>
          <w:bCs/>
          <w:sz w:val="26"/>
          <w:szCs w:val="26"/>
        </w:rPr>
        <w:t xml:space="preserve">земельного участка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5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540"/>
        <w:jc w:val="center"/>
        <w:rPr>
          <w:sz w:val="26"/>
          <w:szCs w:val="26"/>
        </w:rPr>
      </w:pPr>
      <w:r>
        <w:rPr>
          <w:bCs/>
          <w:sz w:val="26"/>
          <w:szCs w:val="26"/>
        </w:rPr>
        <w:t xml:space="preserve">(размещено на торговой</w:t>
      </w:r>
      <w:r>
        <w:rPr>
          <w:bCs/>
          <w:sz w:val="26"/>
          <w:szCs w:val="26"/>
        </w:rPr>
        <w:t xml:space="preserve"> электронной </w:t>
      </w:r>
      <w:r>
        <w:rPr>
          <w:bCs/>
          <w:sz w:val="26"/>
          <w:szCs w:val="26"/>
        </w:rPr>
        <w:t xml:space="preserve"> площадке   </w:t>
      </w:r>
      <w:r>
        <w:rPr>
          <w:sz w:val="26"/>
          <w:szCs w:val="26"/>
          <w:lang w:val="en-US"/>
        </w:rPr>
        <w:t xml:space="preserve">utp</w:t>
      </w:r>
      <w:r>
        <w:rPr>
          <w:sz w:val="26"/>
          <w:szCs w:val="26"/>
        </w:rPr>
        <w:t xml:space="preserve">.</w:t>
      </w:r>
      <w:hyperlink r:id="rId10" w:tooltip="http://sberbank-ast.ru" w:history="1">
        <w:r>
          <w:rPr>
            <w:rStyle w:val="870"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70"/>
            <w:color w:val="auto"/>
            <w:sz w:val="26"/>
            <w:szCs w:val="26"/>
            <w:u w:val="none"/>
          </w:rPr>
          <w:t xml:space="preserve">-</w:t>
        </w:r>
        <w:r>
          <w:rPr>
            <w:rStyle w:val="870"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70"/>
            <w:color w:val="auto"/>
            <w:sz w:val="26"/>
            <w:szCs w:val="26"/>
            <w:u w:val="none"/>
          </w:rPr>
          <w:t xml:space="preserve">.ru</w:t>
        </w:r>
      </w:hyperlink>
      <w:r>
        <w:rPr>
          <w:bCs/>
          <w:color w:val="1c1c1c"/>
          <w:sz w:val="26"/>
          <w:szCs w:val="26"/>
        </w:rPr>
        <w:t xml:space="preserve"> АО «Сбербанк-АСТ»)</w:t>
      </w:r>
      <w:r>
        <w:rPr>
          <w:rStyle w:val="870"/>
          <w:color w:val="auto"/>
          <w:sz w:val="26"/>
          <w:szCs w:val="26"/>
          <w:u w:val="none"/>
        </w:rPr>
        <w:t xml:space="preserve"> и  на</w:t>
      </w:r>
      <w:r>
        <w:rPr>
          <w:rStyle w:val="870"/>
          <w:color w:val="0070c0"/>
          <w:sz w:val="26"/>
          <w:szCs w:val="26"/>
          <w:u w:val="none"/>
        </w:rPr>
        <w:t xml:space="preserve"> </w:t>
      </w:r>
      <w:r>
        <w:rPr>
          <w:bCs/>
          <w:sz w:val="26"/>
          <w:szCs w:val="26"/>
        </w:rPr>
        <w:t xml:space="preserve">сайтах  www.torgi.gov. </w:t>
      </w:r>
      <w:r>
        <w:rPr>
          <w:bCs/>
          <w:sz w:val="26"/>
          <w:szCs w:val="26"/>
          <w:lang w:val="en-US"/>
        </w:rPr>
        <w:t xml:space="preserve">r</w:t>
      </w:r>
      <w:r>
        <w:rPr>
          <w:bCs/>
          <w:sz w:val="26"/>
          <w:szCs w:val="26"/>
        </w:rPr>
        <w:t xml:space="preserve">u (ГИС Торги), </w:t>
      </w:r>
      <w:r>
        <w:rPr>
          <w:color w:val="000000"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www.irkfi. </w:t>
      </w:r>
      <w:r>
        <w:rPr>
          <w:bCs/>
          <w:sz w:val="26"/>
          <w:szCs w:val="26"/>
        </w:rPr>
        <w:t xml:space="preserve">ru</w:t>
      </w:r>
      <w:r>
        <w:rPr>
          <w:bCs/>
          <w:sz w:val="26"/>
          <w:szCs w:val="26"/>
        </w:rPr>
        <w:t xml:space="preserve">, www.mio.irkobl. </w:t>
      </w:r>
      <w:r>
        <w:rPr>
          <w:bCs/>
          <w:sz w:val="26"/>
          <w:szCs w:val="26"/>
          <w:lang w:val="en-US"/>
        </w:rPr>
        <w:t xml:space="preserve">r</w:t>
      </w:r>
      <w:r>
        <w:rPr>
          <w:bCs/>
          <w:sz w:val="26"/>
          <w:szCs w:val="26"/>
        </w:rPr>
        <w:t xml:space="preserve">u)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88"/>
        <w:numPr>
          <w:ilvl w:val="0"/>
          <w:numId w:val="12"/>
        </w:numPr>
        <w:ind w:left="0"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Уполномоченный орган, решение о проведении аукциона, организатор аукциона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pStyle w:val="863"/>
        <w:ind w:firstLine="539"/>
        <w:spacing w:after="0"/>
      </w:pPr>
      <w:r>
        <w:rPr>
          <w:sz w:val="26"/>
          <w:szCs w:val="26"/>
        </w:rPr>
        <w:t xml:space="preserve">Н</w:t>
      </w:r>
      <w:r>
        <w:rPr>
          <w:sz w:val="26"/>
          <w:szCs w:val="26"/>
        </w:rPr>
        <w:t xml:space="preserve">а основании распоряжения Правительства Иркутской области от 03.10.2025 № 432-рп «О проведении аукциона на право заключения договора аренды земельного участка», письма министерства имущественных отношений Иркутской области от 19.12.2025 №02-51-13728/25, обл</w:t>
      </w:r>
      <w:r>
        <w:rPr>
          <w:sz w:val="26"/>
          <w:szCs w:val="26"/>
        </w:rPr>
        <w:t xml:space="preserve">астное государственное казенное учреждение «Фонд имущества Иркутской области» (далее - организатор аукциона) подготовило повторный аукцион в электронной форме на право заключения договора аренды земельного участка.</w:t>
      </w:r>
      <w:r>
        <w:rPr>
          <w:sz w:val="26"/>
          <w:szCs w:val="26"/>
        </w:rPr>
      </w:r>
      <w:r/>
    </w:p>
    <w:p>
      <w:pPr>
        <w:pStyle w:val="863"/>
        <w:ind w:firstLine="539"/>
        <w:spacing w:after="0"/>
      </w:pPr>
      <w:r>
        <w:rPr>
          <w:sz w:val="26"/>
          <w:szCs w:val="26"/>
        </w:rPr>
        <w:t xml:space="preserve">Электронный аукцион является открытым по составу участников.</w:t>
      </w:r>
      <w:r>
        <w:rPr>
          <w:sz w:val="26"/>
          <w:szCs w:val="26"/>
        </w:rPr>
      </w:r>
      <w:r/>
    </w:p>
    <w:p>
      <w:pPr>
        <w:pStyle w:val="863"/>
        <w:ind w:firstLine="539"/>
        <w:spacing w:after="0"/>
      </w:pPr>
      <w:r>
        <w:rPr>
          <w:sz w:val="26"/>
          <w:szCs w:val="26"/>
        </w:rPr>
        <w:t xml:space="preserve">Ст. 39.11 п.10 ЗК РФ Участниками аукциона, проводимого в случае, предусмотренном пунктом 7 статьи 39.18 настоящего Земельного Кодекса РФ, могут являться только граждане. </w:t>
      </w:r>
      <w:r>
        <w:rPr>
          <w:sz w:val="26"/>
          <w:szCs w:val="26"/>
        </w:rPr>
        <w:t xml:space="preserve">К участию в электронном аукционе допускаются физические лица, своевременно подавшие заявку, представившие надлежащим образом оформленные документы, и обеспечившие поступление установленного размера задатка в порядке и сроки, указанные в извещении.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С</w:t>
      </w:r>
      <w:r>
        <w:rPr>
          <w:sz w:val="26"/>
          <w:szCs w:val="26"/>
        </w:rPr>
        <w:t xml:space="preserve">огласно пункту 10 статьи 39.11 Земельного кодекса РФ участниками аукциона могут являться только граждане </w:t>
      </w:r>
      <w:r>
        <w:rPr>
          <w:sz w:val="26"/>
          <w:szCs w:val="26"/>
        </w:rPr>
        <w:t xml:space="preserve">(Извещение от 21.06.2024</w:t>
      </w:r>
      <w:r>
        <w:rPr>
          <w:sz w:val="26"/>
          <w:szCs w:val="26"/>
        </w:rPr>
        <w:t xml:space="preserve"> № 2100001900000000037</w:t>
      </w:r>
      <w:r>
        <w:rPr>
          <w:sz w:val="26"/>
          <w:szCs w:val="26"/>
        </w:rPr>
        <w:t xml:space="preserve">1).</w:t>
      </w:r>
      <w:r>
        <w:rPr>
          <w:sz w:val="26"/>
          <w:szCs w:val="26"/>
        </w:rPr>
      </w:r>
      <w:r/>
    </w:p>
    <w:p>
      <w:pPr>
        <w:pStyle w:val="863"/>
        <w:ind w:firstLine="539"/>
        <w:spacing w:after="0"/>
        <w:rPr>
          <w:sz w:val="26"/>
          <w:szCs w:val="26"/>
        </w:rPr>
      </w:pPr>
      <w:r>
        <w:rPr>
          <w:sz w:val="26"/>
          <w:szCs w:val="26"/>
        </w:rPr>
      </w:r>
      <w:r>
        <w:rPr>
          <w:b/>
          <w:bCs/>
          <w:color w:val="1c1c1c"/>
          <w:sz w:val="26"/>
          <w:szCs w:val="26"/>
        </w:rPr>
        <w:t xml:space="preserve">Н</w:t>
      </w:r>
      <w:r>
        <w:rPr>
          <w:b/>
          <w:bCs/>
          <w:color w:val="1c1c1c"/>
          <w:sz w:val="26"/>
          <w:szCs w:val="26"/>
        </w:rPr>
        <w:t xml:space="preserve">аименование электронной площадки</w:t>
      </w:r>
      <w:r>
        <w:rPr>
          <w:b/>
          <w:bCs/>
          <w:color w:val="1c1c1c"/>
          <w:sz w:val="26"/>
          <w:szCs w:val="26"/>
        </w:rPr>
        <w:t xml:space="preserve">,</w:t>
      </w:r>
      <w:r>
        <w:rPr>
          <w:b/>
          <w:bCs/>
          <w:color w:val="1c1c1c"/>
          <w:sz w:val="26"/>
          <w:szCs w:val="26"/>
        </w:rPr>
        <w:t xml:space="preserve"> </w:t>
      </w:r>
      <w:r>
        <w:rPr>
          <w:b/>
          <w:bCs/>
          <w:color w:val="1c1c1c"/>
          <w:sz w:val="26"/>
          <w:szCs w:val="26"/>
        </w:rPr>
        <w:t xml:space="preserve">место приема заявок, </w:t>
      </w:r>
      <w:r>
        <w:rPr>
          <w:b/>
          <w:bCs/>
          <w:color w:val="1c1c1c"/>
          <w:sz w:val="26"/>
          <w:szCs w:val="26"/>
        </w:rPr>
        <w:t xml:space="preserve">адрес, телефон</w:t>
      </w:r>
      <w:r>
        <w:rPr>
          <w:b/>
          <w:bCs/>
          <w:color w:val="1c1c1c"/>
          <w:sz w:val="26"/>
          <w:szCs w:val="26"/>
        </w:rPr>
        <w:t xml:space="preserve">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63"/>
        <w:ind w:firstLine="567"/>
        <w:spacing w:after="0"/>
        <w:rPr>
          <w:b/>
          <w:bCs/>
          <w:color w:val="1c1c1c"/>
          <w:sz w:val="26"/>
          <w:szCs w:val="26"/>
        </w:rPr>
      </w:pPr>
      <w:r>
        <w:rPr>
          <w:rFonts w:eastAsia="Calibri"/>
          <w:sz w:val="26"/>
          <w:szCs w:val="26"/>
        </w:rPr>
        <w:t xml:space="preserve">Оператор электронной площадки – юридическое лицо, зарегистрированное н</w:t>
      </w:r>
      <w:r>
        <w:rPr>
          <w:rFonts w:eastAsia="Calibri"/>
          <w:sz w:val="26"/>
          <w:szCs w:val="26"/>
        </w:rPr>
        <w:t xml:space="preserve">а территории Российской Федерации, владеющее электронной площадкой, в том числе необходимыми для ее функционирования программно-аппаратными средствами, обеспечивающее её функционирование и включенное в перечень операторов электронных площадок, утвержденных</w:t>
      </w:r>
      <w:r>
        <w:rPr>
          <w:rFonts w:eastAsia="Calibri"/>
          <w:sz w:val="26"/>
          <w:szCs w:val="26"/>
        </w:rPr>
        <w:t xml:space="preserve"> Распоряжением Правительства Российской Федерации от 12.07.2018 №1447-р «Об утверждении перечней операторов электронных площадок и специализированных электронных площадок, предусмотренных Федеральными законами от  05.04.2013 №44-ФЗ, от 18.07.2011 №223-ФЗ».</w:t>
      </w:r>
      <w:r>
        <w:rPr>
          <w:b/>
          <w:bCs/>
          <w:color w:val="1c1c1c"/>
          <w:sz w:val="26"/>
          <w:szCs w:val="26"/>
        </w:rPr>
      </w:r>
      <w:r>
        <w:rPr>
          <w:b/>
          <w:bCs/>
          <w:color w:val="1c1c1c"/>
          <w:sz w:val="26"/>
          <w:szCs w:val="26"/>
        </w:rPr>
      </w:r>
    </w:p>
    <w:p>
      <w:pPr>
        <w:pStyle w:val="863"/>
        <w:numPr>
          <w:ilvl w:val="0"/>
          <w:numId w:val="14"/>
        </w:numPr>
        <w:ind w:left="0" w:firstLine="709"/>
        <w:spacing w:after="0"/>
        <w:rPr>
          <w:bCs/>
          <w:color w:val="1c1c1c"/>
          <w:sz w:val="26"/>
          <w:szCs w:val="26"/>
        </w:rPr>
      </w:pPr>
      <w:r>
        <w:rPr>
          <w:bCs/>
          <w:color w:val="1c1c1c"/>
          <w:sz w:val="26"/>
          <w:szCs w:val="26"/>
        </w:rPr>
        <w:t xml:space="preserve">Наименование:</w:t>
      </w:r>
      <w:r>
        <w:rPr>
          <w:b/>
          <w:bCs/>
          <w:color w:val="1c1c1c"/>
          <w:sz w:val="26"/>
          <w:szCs w:val="26"/>
        </w:rPr>
        <w:t xml:space="preserve"> </w:t>
      </w:r>
      <w:r>
        <w:rPr>
          <w:bCs/>
          <w:color w:val="1c1c1c"/>
          <w:sz w:val="26"/>
          <w:szCs w:val="26"/>
        </w:rPr>
        <w:t xml:space="preserve">Акционерное общество «Сбербанк – Автоматизированная система торгов» (далее АО «Сбербанк-АСТ»)</w:t>
      </w:r>
      <w:r>
        <w:rPr>
          <w:bCs/>
          <w:color w:val="1c1c1c"/>
          <w:sz w:val="26"/>
          <w:szCs w:val="26"/>
        </w:rPr>
      </w:r>
      <w:r>
        <w:rPr>
          <w:bCs/>
          <w:color w:val="1c1c1c"/>
          <w:sz w:val="26"/>
          <w:szCs w:val="26"/>
        </w:rPr>
      </w:r>
    </w:p>
    <w:p>
      <w:pPr>
        <w:pStyle w:val="888"/>
        <w:numPr>
          <w:ilvl w:val="0"/>
          <w:numId w:val="14"/>
        </w:numPr>
        <w:ind w:left="0" w:firstLine="709"/>
        <w:jc w:val="both"/>
        <w:spacing w:line="200" w:lineRule="atLeast"/>
        <w:rPr>
          <w:rStyle w:val="870"/>
          <w:rFonts w:eastAsia="Calibri"/>
          <w:color w:val="auto"/>
          <w:sz w:val="26"/>
          <w:szCs w:val="26"/>
          <w:u w:val="none"/>
        </w:rPr>
      </w:pPr>
      <w:r>
        <w:rPr>
          <w:rFonts w:eastAsia="Calibri"/>
          <w:sz w:val="26"/>
          <w:szCs w:val="26"/>
        </w:rPr>
        <w:t xml:space="preserve">Место подачи (приема) заявок: электронная площадка </w:t>
      </w:r>
      <w:r>
        <w:rPr>
          <w:b/>
          <w:sz w:val="26"/>
          <w:szCs w:val="26"/>
          <w:lang w:val="en-US"/>
        </w:rPr>
        <w:t xml:space="preserve">utp</w:t>
      </w:r>
      <w:r>
        <w:rPr>
          <w:b/>
          <w:sz w:val="26"/>
          <w:szCs w:val="26"/>
        </w:rPr>
        <w:t xml:space="preserve">.</w:t>
      </w:r>
      <w:hyperlink r:id="rId11" w:tooltip="http://sberbank-ast.ru" w:history="1">
        <w:r>
          <w:rPr>
            <w:rStyle w:val="870"/>
            <w:b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70"/>
            <w:b/>
            <w:color w:val="auto"/>
            <w:sz w:val="26"/>
            <w:szCs w:val="26"/>
            <w:u w:val="none"/>
          </w:rPr>
          <w:t xml:space="preserve">-</w:t>
        </w:r>
        <w:r>
          <w:rPr>
            <w:rStyle w:val="870"/>
            <w:b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70"/>
            <w:b/>
            <w:color w:val="auto"/>
            <w:sz w:val="26"/>
            <w:szCs w:val="26"/>
            <w:u w:val="none"/>
          </w:rPr>
          <w:t xml:space="preserve">.</w:t>
        </w:r>
        <w:r>
          <w:rPr>
            <w:rStyle w:val="870"/>
            <w:b/>
            <w:color w:val="auto"/>
            <w:sz w:val="26"/>
            <w:szCs w:val="26"/>
            <w:u w:val="none"/>
          </w:rPr>
          <w:t xml:space="preserve">ru</w:t>
        </w:r>
      </w:hyperlink>
      <w:r>
        <w:rPr>
          <w:rStyle w:val="870"/>
          <w:rFonts w:eastAsia="Calibri"/>
          <w:color w:val="auto"/>
          <w:sz w:val="26"/>
          <w:szCs w:val="26"/>
          <w:u w:val="none"/>
        </w:rPr>
      </w:r>
      <w:r>
        <w:rPr>
          <w:rStyle w:val="870"/>
          <w:rFonts w:eastAsia="Calibri"/>
          <w:color w:val="auto"/>
          <w:sz w:val="26"/>
          <w:szCs w:val="26"/>
          <w:u w:val="none"/>
        </w:rPr>
      </w:r>
    </w:p>
    <w:p>
      <w:pPr>
        <w:pStyle w:val="888"/>
        <w:numPr>
          <w:ilvl w:val="0"/>
          <w:numId w:val="14"/>
        </w:numPr>
        <w:ind w:left="-142" w:firstLine="851"/>
        <w:jc w:val="both"/>
        <w:spacing w:line="200" w:lineRule="atLeas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 Адрес (место нахождение): 119435, г. Москва, Большой Саввинский переулок, дом 12, </w:t>
      </w:r>
      <w:r>
        <w:rPr>
          <w:rFonts w:eastAsia="Calibri"/>
          <w:sz w:val="26"/>
          <w:szCs w:val="26"/>
        </w:rPr>
        <w:t xml:space="preserve">стр.,</w:t>
      </w:r>
      <w:r>
        <w:rPr>
          <w:rFonts w:eastAsia="Calibri"/>
          <w:sz w:val="26"/>
          <w:szCs w:val="26"/>
        </w:rPr>
        <w:t xml:space="preserve"> эт.1, пом. 1, комн.2. </w:t>
      </w:r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pStyle w:val="888"/>
        <w:ind w:left="0" w:firstLine="709"/>
        <w:jc w:val="both"/>
        <w:spacing w:line="200" w:lineRule="atLeas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Адрес электронной почты: </w:t>
      </w:r>
      <w:hyperlink r:id="rId12" w:tooltip="mailto:info@sberbank-ast.ru" w:history="1">
        <w:r>
          <w:rPr>
            <w:rStyle w:val="870"/>
            <w:rFonts w:eastAsia="Calibri"/>
            <w:sz w:val="26"/>
            <w:szCs w:val="26"/>
            <w:lang w:val="en-US"/>
          </w:rPr>
          <w:t xml:space="preserve">info</w:t>
        </w:r>
        <w:r>
          <w:rPr>
            <w:rStyle w:val="870"/>
            <w:rFonts w:eastAsia="Calibri"/>
            <w:sz w:val="26"/>
            <w:szCs w:val="26"/>
          </w:rPr>
          <w:t xml:space="preserve">@</w:t>
        </w:r>
        <w:r>
          <w:rPr>
            <w:rStyle w:val="870"/>
            <w:rFonts w:eastAsia="Calibri"/>
            <w:sz w:val="26"/>
            <w:szCs w:val="26"/>
            <w:lang w:val="en-US"/>
          </w:rPr>
          <w:t xml:space="preserve">sberbank</w:t>
        </w:r>
        <w:r>
          <w:rPr>
            <w:rStyle w:val="870"/>
            <w:rFonts w:eastAsia="Calibri"/>
            <w:sz w:val="26"/>
            <w:szCs w:val="26"/>
          </w:rPr>
          <w:t xml:space="preserve">-</w:t>
        </w:r>
        <w:r>
          <w:rPr>
            <w:rStyle w:val="870"/>
            <w:rFonts w:eastAsia="Calibri"/>
            <w:sz w:val="26"/>
            <w:szCs w:val="26"/>
            <w:lang w:val="en-US"/>
          </w:rPr>
          <w:t xml:space="preserve">ast</w:t>
        </w:r>
        <w:r>
          <w:rPr>
            <w:rStyle w:val="870"/>
            <w:rFonts w:eastAsia="Calibri"/>
            <w:sz w:val="26"/>
            <w:szCs w:val="26"/>
          </w:rPr>
          <w:t xml:space="preserve">.</w:t>
        </w:r>
        <w:r>
          <w:rPr>
            <w:rStyle w:val="870"/>
            <w:rFonts w:eastAsia="Calibri"/>
            <w:sz w:val="26"/>
            <w:szCs w:val="26"/>
            <w:lang w:val="en-US"/>
          </w:rPr>
          <w:t xml:space="preserve">ru</w:t>
        </w:r>
      </w:hyperlink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ind w:firstLine="708"/>
        <w:rPr>
          <w:rFonts w:eastAsiaTheme="minorEastAsia"/>
          <w:sz w:val="26"/>
          <w:szCs w:val="26"/>
        </w:rPr>
      </w:pPr>
      <w:r>
        <w:rPr>
          <w:rFonts w:eastAsia="Calibri"/>
          <w:sz w:val="26"/>
          <w:szCs w:val="26"/>
        </w:rPr>
        <w:t xml:space="preserve">Телефон: </w:t>
      </w:r>
      <w:r>
        <w:rPr>
          <w:rFonts w:eastAsiaTheme="minorEastAsia"/>
          <w:sz w:val="26"/>
          <w:szCs w:val="26"/>
        </w:rPr>
        <w:t xml:space="preserve">+7 (495) 787-29-97, +7 (495) 787-29-99, +7 (495) 539-59-21, доб. «29»</w:t>
      </w:r>
      <w:r>
        <w:rPr>
          <w:rFonts w:eastAsiaTheme="minorEastAsia"/>
          <w:sz w:val="26"/>
          <w:szCs w:val="26"/>
        </w:rPr>
      </w:r>
      <w:r>
        <w:rPr>
          <w:rFonts w:eastAsiaTheme="minorEastAsia"/>
          <w:sz w:val="26"/>
          <w:szCs w:val="26"/>
        </w:rPr>
      </w:r>
    </w:p>
    <w:p>
      <w:pPr>
        <w:ind w:firstLine="709"/>
        <w:jc w:val="both"/>
        <w:spacing w:line="200" w:lineRule="atLeas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pStyle w:val="863"/>
        <w:numPr>
          <w:ilvl w:val="0"/>
          <w:numId w:val="12"/>
        </w:numPr>
        <w:ind w:left="0" w:firstLine="709"/>
        <w:spacing w:after="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Сроки подачи (приема) заявок, определения участников и проведения</w:t>
      </w:r>
      <w:r>
        <w:rPr>
          <w:b/>
          <w:bCs/>
          <w:sz w:val="26"/>
          <w:szCs w:val="26"/>
        </w:rPr>
        <w:t xml:space="preserve"> электронного аукциона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709"/>
        <w:jc w:val="both"/>
        <w:spacing w:line="200" w:lineRule="atLeas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1</w:t>
      </w:r>
      <w:r>
        <w:rPr>
          <w:rFonts w:eastAsia="Calibri"/>
          <w:sz w:val="26"/>
          <w:szCs w:val="26"/>
        </w:rPr>
        <w:t xml:space="preserve">) Дата и время начала подачи (приема) заявок: </w:t>
      </w:r>
      <w:r>
        <w:rPr>
          <w:rFonts w:eastAsia="Calibri"/>
          <w:b/>
          <w:bCs/>
          <w:sz w:val="26"/>
          <w:szCs w:val="26"/>
        </w:rPr>
        <w:t xml:space="preserve">27.12</w:t>
      </w:r>
      <w:r>
        <w:rPr>
          <w:rFonts w:eastAsia="Calibri"/>
          <w:b/>
          <w:bCs/>
          <w:sz w:val="26"/>
          <w:szCs w:val="26"/>
        </w:rPr>
        <w:t xml:space="preserve">.</w:t>
      </w:r>
      <w:r>
        <w:rPr>
          <w:b/>
          <w:sz w:val="26"/>
          <w:szCs w:val="26"/>
        </w:rPr>
        <w:t xml:space="preserve">2025</w:t>
      </w:r>
      <w:r>
        <w:rPr>
          <w:b/>
          <w:sz w:val="26"/>
          <w:szCs w:val="26"/>
        </w:rPr>
        <w:t xml:space="preserve"> года </w:t>
      </w:r>
      <w:r>
        <w:rPr>
          <w:b/>
          <w:sz w:val="26"/>
          <w:szCs w:val="26"/>
        </w:rPr>
        <w:t xml:space="preserve">в </w:t>
      </w:r>
      <w:r>
        <w:rPr>
          <w:b/>
          <w:sz w:val="26"/>
          <w:szCs w:val="26"/>
        </w:rPr>
        <w:t xml:space="preserve">10</w:t>
      </w:r>
      <w:r>
        <w:rPr>
          <w:b/>
          <w:sz w:val="26"/>
          <w:szCs w:val="26"/>
        </w:rPr>
        <w:t xml:space="preserve"> час. 00 мин. </w:t>
      </w:r>
      <w:r>
        <w:rPr>
          <w:rFonts w:eastAsia="Calibri"/>
          <w:sz w:val="26"/>
          <w:szCs w:val="26"/>
        </w:rPr>
        <w:t xml:space="preserve">по местному времени. </w:t>
      </w:r>
      <w:r>
        <w:rPr>
          <w:rFonts w:eastAsia="Calibri"/>
          <w:sz w:val="26"/>
          <w:szCs w:val="26"/>
        </w:rPr>
        <w:t xml:space="preserve">Подача заявок осуществляется круглосуточно.</w:t>
      </w:r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ind w:firstLine="709"/>
        <w:jc w:val="both"/>
        <w:spacing w:line="200" w:lineRule="atLeas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2</w:t>
      </w:r>
      <w:r>
        <w:rPr>
          <w:rFonts w:eastAsia="Calibri"/>
          <w:sz w:val="26"/>
          <w:szCs w:val="26"/>
        </w:rPr>
        <w:t xml:space="preserve">) Дата и время окончания подачи (приема) заявок: </w:t>
      </w:r>
      <w:r>
        <w:rPr>
          <w:rFonts w:eastAsia="Calibri"/>
          <w:b/>
          <w:bCs/>
          <w:sz w:val="26"/>
          <w:szCs w:val="26"/>
        </w:rPr>
        <w:t xml:space="preserve">27.01</w:t>
      </w:r>
      <w:r>
        <w:rPr>
          <w:rFonts w:eastAsia="Calibri"/>
          <w:sz w:val="26"/>
          <w:szCs w:val="26"/>
        </w:rPr>
        <w:t xml:space="preserve">.</w:t>
      </w:r>
      <w:r>
        <w:rPr>
          <w:rFonts w:eastAsia="Calibri"/>
          <w:b/>
          <w:sz w:val="26"/>
          <w:szCs w:val="26"/>
        </w:rPr>
        <w:t xml:space="preserve">2026</w:t>
      </w:r>
      <w:r>
        <w:rPr>
          <w:rFonts w:eastAsia="Calibri"/>
          <w:b/>
          <w:sz w:val="26"/>
          <w:szCs w:val="26"/>
        </w:rPr>
        <w:t xml:space="preserve"> </w:t>
      </w:r>
      <w:r>
        <w:rPr>
          <w:rFonts w:eastAsia="Calibri"/>
          <w:b/>
          <w:sz w:val="26"/>
          <w:szCs w:val="26"/>
        </w:rPr>
        <w:t xml:space="preserve">года</w:t>
      </w:r>
      <w:r>
        <w:rPr>
          <w:rFonts w:eastAsia="Calibri"/>
          <w:b/>
          <w:sz w:val="26"/>
          <w:szCs w:val="26"/>
        </w:rPr>
        <w:t xml:space="preserve"> в </w:t>
      </w:r>
      <w:r>
        <w:rPr>
          <w:rFonts w:eastAsia="Calibri"/>
          <w:b/>
          <w:sz w:val="26"/>
          <w:szCs w:val="26"/>
        </w:rPr>
        <w:t xml:space="preserve">10</w:t>
      </w:r>
      <w:r>
        <w:rPr>
          <w:rFonts w:eastAsia="Calibri"/>
          <w:b/>
          <w:sz w:val="26"/>
          <w:szCs w:val="26"/>
        </w:rPr>
        <w:t xml:space="preserve"> час. 00 мин.</w:t>
      </w:r>
      <w:r>
        <w:rPr>
          <w:rFonts w:eastAsia="Calibri"/>
          <w:sz w:val="26"/>
          <w:szCs w:val="26"/>
        </w:rPr>
        <w:t xml:space="preserve"> </w:t>
      </w:r>
      <w:r>
        <w:rPr>
          <w:rFonts w:eastAsia="Calibri"/>
          <w:sz w:val="26"/>
          <w:szCs w:val="26"/>
        </w:rPr>
        <w:t xml:space="preserve">по местному времени.</w:t>
      </w:r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ind w:firstLine="709"/>
        <w:jc w:val="both"/>
        <w:spacing w:line="200" w:lineRule="atLeast"/>
        <w:rPr>
          <w:rFonts w:eastAsia="Calibri"/>
          <w:b/>
          <w:sz w:val="26"/>
          <w:szCs w:val="26"/>
        </w:rPr>
      </w:pPr>
      <w:r>
        <w:rPr>
          <w:rFonts w:eastAsia="Calibri"/>
          <w:sz w:val="26"/>
          <w:szCs w:val="26"/>
        </w:rPr>
        <w:t xml:space="preserve">3</w:t>
      </w:r>
      <w:r>
        <w:rPr>
          <w:rFonts w:eastAsia="Calibri"/>
          <w:sz w:val="26"/>
          <w:szCs w:val="26"/>
        </w:rPr>
        <w:t xml:space="preserve">) Дата рассмотрения заявок:</w:t>
      </w:r>
      <w:r>
        <w:rPr>
          <w:rFonts w:eastAsia="Calibri"/>
          <w:b/>
          <w:bCs/>
          <w:sz w:val="26"/>
          <w:szCs w:val="26"/>
        </w:rPr>
        <w:t xml:space="preserve"> </w:t>
      </w:r>
      <w:r>
        <w:rPr>
          <w:rFonts w:eastAsia="Calibri"/>
          <w:b/>
          <w:bCs/>
          <w:sz w:val="26"/>
          <w:szCs w:val="26"/>
        </w:rPr>
        <w:t xml:space="preserve">28.01</w:t>
      </w:r>
      <w:r>
        <w:rPr>
          <w:rFonts w:eastAsia="Calibri"/>
          <w:b/>
          <w:bCs/>
          <w:sz w:val="26"/>
          <w:szCs w:val="26"/>
        </w:rPr>
        <w:t xml:space="preserve">.</w:t>
      </w:r>
      <w:r>
        <w:rPr>
          <w:rFonts w:eastAsia="Calibri"/>
          <w:b/>
          <w:bCs/>
          <w:sz w:val="26"/>
          <w:szCs w:val="26"/>
        </w:rPr>
        <w:t xml:space="preserve">2</w:t>
      </w:r>
      <w:r>
        <w:rPr>
          <w:rFonts w:eastAsia="Calibri"/>
          <w:b/>
          <w:sz w:val="26"/>
          <w:szCs w:val="26"/>
        </w:rPr>
        <w:t xml:space="preserve">026</w:t>
      </w:r>
      <w:r>
        <w:rPr>
          <w:rFonts w:eastAsia="Calibri"/>
          <w:b/>
          <w:sz w:val="26"/>
          <w:szCs w:val="26"/>
        </w:rPr>
        <w:t xml:space="preserve"> года</w:t>
      </w:r>
      <w:r>
        <w:rPr>
          <w:rFonts w:eastAsia="Calibri"/>
          <w:b/>
          <w:sz w:val="26"/>
          <w:szCs w:val="26"/>
        </w:rPr>
        <w:t xml:space="preserve">.</w:t>
      </w:r>
      <w:r>
        <w:rPr>
          <w:rFonts w:eastAsia="Calibri"/>
          <w:b/>
          <w:sz w:val="26"/>
          <w:szCs w:val="26"/>
        </w:rPr>
      </w:r>
      <w:r>
        <w:rPr>
          <w:rFonts w:eastAsia="Calibri"/>
          <w:b/>
          <w:sz w:val="26"/>
          <w:szCs w:val="26"/>
        </w:rPr>
      </w:r>
    </w:p>
    <w:p>
      <w:pPr>
        <w:ind w:firstLine="709"/>
        <w:jc w:val="both"/>
        <w:spacing w:line="200" w:lineRule="atLeas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4</w:t>
      </w:r>
      <w:r>
        <w:rPr>
          <w:rFonts w:eastAsia="Calibri"/>
          <w:sz w:val="26"/>
          <w:szCs w:val="26"/>
        </w:rPr>
        <w:t xml:space="preserve">) Дата и время начала проведения </w:t>
      </w:r>
      <w:r>
        <w:rPr>
          <w:rFonts w:eastAsia="Calibri"/>
          <w:sz w:val="26"/>
          <w:szCs w:val="26"/>
        </w:rPr>
        <w:t xml:space="preserve">электронного </w:t>
      </w:r>
      <w:r>
        <w:rPr>
          <w:rFonts w:eastAsia="Calibri"/>
          <w:sz w:val="26"/>
          <w:szCs w:val="26"/>
        </w:rPr>
        <w:t xml:space="preserve">аукциона: </w:t>
      </w:r>
      <w:r>
        <w:rPr>
          <w:rFonts w:eastAsia="Calibri"/>
          <w:b/>
          <w:bCs/>
          <w:sz w:val="26"/>
          <w:szCs w:val="26"/>
        </w:rPr>
        <w:t xml:space="preserve">29.01</w:t>
      </w:r>
      <w:r>
        <w:rPr>
          <w:rFonts w:eastAsia="Calibri"/>
          <w:b/>
          <w:sz w:val="26"/>
          <w:szCs w:val="26"/>
        </w:rPr>
        <w:t xml:space="preserve">.2026</w:t>
      </w:r>
      <w:r>
        <w:rPr>
          <w:rFonts w:eastAsia="Calibri"/>
          <w:b/>
          <w:sz w:val="26"/>
          <w:szCs w:val="26"/>
        </w:rPr>
        <w:t xml:space="preserve"> года</w:t>
      </w:r>
      <w:r>
        <w:rPr>
          <w:rFonts w:eastAsia="Calibri"/>
          <w:sz w:val="26"/>
          <w:szCs w:val="26"/>
        </w:rPr>
        <w:t xml:space="preserve"> в </w:t>
      </w:r>
      <w:r>
        <w:rPr>
          <w:rFonts w:eastAsia="Calibri"/>
          <w:b/>
          <w:bCs/>
          <w:sz w:val="26"/>
          <w:szCs w:val="26"/>
        </w:rPr>
        <w:t xml:space="preserve">10</w:t>
      </w:r>
      <w:r>
        <w:rPr>
          <w:rFonts w:eastAsia="Calibri"/>
          <w:b/>
          <w:sz w:val="26"/>
          <w:szCs w:val="26"/>
        </w:rPr>
        <w:t xml:space="preserve"> час. </w:t>
      </w:r>
      <w:r>
        <w:rPr>
          <w:rFonts w:eastAsia="Calibri"/>
          <w:b/>
          <w:sz w:val="26"/>
          <w:szCs w:val="26"/>
        </w:rPr>
        <w:t xml:space="preserve">00</w:t>
      </w:r>
      <w:r>
        <w:rPr>
          <w:rFonts w:eastAsia="Calibri"/>
          <w:b/>
          <w:sz w:val="26"/>
          <w:szCs w:val="26"/>
        </w:rPr>
        <w:t xml:space="preserve"> мин.</w:t>
      </w:r>
      <w:r>
        <w:rPr>
          <w:rFonts w:eastAsia="Calibri"/>
          <w:b/>
          <w:sz w:val="26"/>
          <w:szCs w:val="26"/>
        </w:rPr>
        <w:t xml:space="preserve"> </w:t>
      </w:r>
      <w:r>
        <w:rPr>
          <w:rFonts w:eastAsia="Calibri"/>
          <w:sz w:val="26"/>
          <w:szCs w:val="26"/>
        </w:rPr>
        <w:t xml:space="preserve">по местному времени</w:t>
      </w:r>
      <w:r>
        <w:rPr>
          <w:rFonts w:eastAsia="Calibri"/>
          <w:sz w:val="26"/>
          <w:szCs w:val="26"/>
        </w:rPr>
        <w:t xml:space="preserve"> до последнего предложения участников.</w:t>
      </w:r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pStyle w:val="861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61"/>
        <w:numPr>
          <w:ilvl w:val="0"/>
          <w:numId w:val="12"/>
        </w:num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Предмет аукциона</w:t>
      </w:r>
      <w:r>
        <w:rPr>
          <w:sz w:val="26"/>
          <w:szCs w:val="26"/>
        </w:rPr>
        <w:t xml:space="preserve"> право заключения договора</w:t>
      </w:r>
      <w:r>
        <w:rPr>
          <w:sz w:val="26"/>
          <w:szCs w:val="26"/>
        </w:rPr>
        <w:t xml:space="preserve"> аренды земельн</w:t>
      </w:r>
      <w:r>
        <w:rPr>
          <w:sz w:val="26"/>
          <w:szCs w:val="26"/>
        </w:rPr>
        <w:t xml:space="preserve">ого</w:t>
      </w:r>
      <w:r>
        <w:rPr>
          <w:sz w:val="26"/>
          <w:szCs w:val="26"/>
        </w:rPr>
        <w:t xml:space="preserve"> участк</w:t>
      </w:r>
      <w:r>
        <w:rPr>
          <w:sz w:val="26"/>
          <w:szCs w:val="26"/>
        </w:rPr>
        <w:t xml:space="preserve">а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ind w:firstLine="709"/>
        <w:jc w:val="both"/>
        <w:tabs>
          <w:tab w:val="left" w:pos="540" w:leader="none"/>
          <w:tab w:val="left" w:pos="720" w:leader="none"/>
        </w:tabs>
        <w:rPr>
          <w:sz w:val="26"/>
          <w:szCs w:val="26"/>
        </w:rPr>
      </w:pPr>
      <w:r>
        <w:rPr>
          <w:b/>
          <w:sz w:val="26"/>
          <w:szCs w:val="26"/>
        </w:rPr>
        <w:t xml:space="preserve">Характеристика земельного участка: </w:t>
      </w:r>
      <w:r>
        <w:rPr>
          <w:sz w:val="26"/>
          <w:szCs w:val="26"/>
        </w:rPr>
        <w:t xml:space="preserve">земельный участок из земель населённых пунктов </w:t>
      </w:r>
      <w:r>
        <w:rPr>
          <w:sz w:val="26"/>
          <w:szCs w:val="26"/>
        </w:rPr>
        <w:t xml:space="preserve">площадью 2000 кв.м с кадастровым номером 38:06:080604:1056, </w:t>
      </w:r>
      <w:r>
        <w:rPr>
          <w:sz w:val="26"/>
          <w:szCs w:val="26"/>
        </w:rPr>
        <w:t xml:space="preserve">адрес: Российская федерация, Иркутская область,</w:t>
      </w:r>
      <w:r>
        <w:rPr>
          <w:sz w:val="26"/>
          <w:szCs w:val="26"/>
        </w:rPr>
        <w:t xml:space="preserve"> муниципальный район Иркутский, сельское поселение Ревякинское, деревня Черемушка,  ул. 2-я Дорожная, земельный участок 24.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Право на земельный участок: </w:t>
      </w:r>
      <w:r>
        <w:rPr>
          <w:bCs/>
          <w:sz w:val="26"/>
          <w:szCs w:val="26"/>
        </w:rPr>
        <w:t xml:space="preserve">государственная собственность (право собственности не разграничено).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contextualSpacing/>
        <w:ind w:firstLine="709"/>
        <w:jc w:val="both"/>
        <w:tabs>
          <w:tab w:val="left" w:pos="540" w:leader="none"/>
          <w:tab w:val="left" w:pos="720" w:leader="none"/>
        </w:tabs>
        <w:rPr>
          <w:bCs/>
          <w:iCs/>
          <w:sz w:val="26"/>
          <w:szCs w:val="26"/>
        </w:rPr>
      </w:pPr>
      <w:r>
        <w:rPr>
          <w:b/>
          <w:bCs/>
          <w:iCs/>
          <w:sz w:val="26"/>
          <w:szCs w:val="26"/>
        </w:rPr>
        <w:tab/>
        <w:t xml:space="preserve">Категория земель: </w:t>
      </w:r>
      <w:r>
        <w:rPr>
          <w:bCs/>
          <w:iCs/>
          <w:sz w:val="26"/>
          <w:szCs w:val="26"/>
        </w:rPr>
        <w:t xml:space="preserve">земли населённых пунктов.</w:t>
      </w:r>
      <w:r>
        <w:rPr>
          <w:bCs/>
          <w:iCs/>
          <w:sz w:val="26"/>
          <w:szCs w:val="26"/>
        </w:rPr>
      </w:r>
      <w:r>
        <w:rPr>
          <w:bCs/>
          <w:iCs/>
          <w:sz w:val="26"/>
          <w:szCs w:val="26"/>
        </w:rPr>
      </w:r>
    </w:p>
    <w:p>
      <w:pPr>
        <w:contextualSpacing/>
        <w:ind w:firstLine="709"/>
        <w:jc w:val="both"/>
        <w:tabs>
          <w:tab w:val="left" w:pos="540" w:leader="none"/>
          <w:tab w:val="left" w:pos="720" w:leader="none"/>
        </w:tabs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Основные виды разрешенного использования: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для ведения личного подсобного хозяйства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contextualSpacing/>
        <w:ind w:firstLine="709"/>
        <w:jc w:val="both"/>
        <w:tabs>
          <w:tab w:val="left" w:pos="540" w:leader="none"/>
          <w:tab w:val="left" w:pos="720" w:leader="none"/>
        </w:tabs>
        <w:rPr>
          <w:bCs/>
          <w:iCs/>
          <w:sz w:val="26"/>
          <w:szCs w:val="26"/>
        </w:rPr>
      </w:pPr>
      <w:r>
        <w:rPr>
          <w:b/>
          <w:bCs/>
          <w:iCs/>
          <w:sz w:val="26"/>
          <w:szCs w:val="26"/>
        </w:rPr>
        <w:t xml:space="preserve">Максимально и минимально допустимые параметры разрешенного строительства: </w:t>
      </w:r>
      <w:r>
        <w:rPr>
          <w:bCs/>
          <w:iCs/>
          <w:sz w:val="26"/>
          <w:szCs w:val="26"/>
        </w:rPr>
        <w:t xml:space="preserve">в</w:t>
      </w:r>
      <w:r>
        <w:rPr>
          <w:sz w:val="26"/>
          <w:szCs w:val="26"/>
        </w:rPr>
        <w:t xml:space="preserve"> соответствии с правилами землепользования и застройки </w:t>
      </w:r>
      <w:r>
        <w:rPr>
          <w:sz w:val="26"/>
          <w:szCs w:val="26"/>
        </w:rPr>
        <w:t xml:space="preserve">Ревякинского</w:t>
      </w:r>
      <w:r>
        <w:rPr>
          <w:sz w:val="26"/>
          <w:szCs w:val="26"/>
        </w:rPr>
        <w:t xml:space="preserve"> муниципального образования земельный участок расположен в зоне застройки индивидуальными жилыми домами.</w:t>
      </w:r>
      <w:r>
        <w:rPr>
          <w:bCs/>
          <w:iCs/>
          <w:sz w:val="26"/>
          <w:szCs w:val="26"/>
        </w:rPr>
      </w:r>
      <w:r>
        <w:rPr>
          <w:bCs/>
          <w:iCs/>
          <w:sz w:val="26"/>
          <w:szCs w:val="26"/>
        </w:rPr>
      </w:r>
    </w:p>
    <w:p>
      <w:pPr>
        <w:ind w:firstLine="709"/>
        <w:jc w:val="both"/>
        <w:tabs>
          <w:tab w:val="left" w:pos="567" w:leader="none"/>
        </w:tabs>
        <w:rPr>
          <w:b/>
          <w:iCs/>
          <w:sz w:val="26"/>
          <w:szCs w:val="26"/>
        </w:rPr>
      </w:pPr>
      <w:r>
        <w:rPr>
          <w:b/>
          <w:iCs/>
          <w:sz w:val="26"/>
          <w:szCs w:val="26"/>
        </w:rPr>
        <w:t xml:space="preserve">Технические условия подключения объекта капитального строительства к сетям, срок действия технических условий, плата за подключение:</w:t>
      </w:r>
      <w:r>
        <w:rPr>
          <w:b/>
          <w:iCs/>
          <w:sz w:val="26"/>
          <w:szCs w:val="26"/>
        </w:rPr>
      </w:r>
      <w:r>
        <w:rPr>
          <w:b/>
          <w:iCs/>
          <w:sz w:val="26"/>
          <w:szCs w:val="26"/>
        </w:rPr>
      </w:r>
    </w:p>
    <w:p>
      <w:pPr>
        <w:ind w:firstLine="709"/>
        <w:jc w:val="both"/>
        <w:tabs>
          <w:tab w:val="left" w:pos="567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>
        <w:rPr>
          <w:sz w:val="26"/>
          <w:szCs w:val="26"/>
        </w:rPr>
        <w:t xml:space="preserve">Письмо  филиала  АО  «ИЭСК»  «Восточные  электрические  сети»«О технологическом присоединении» от 04.07.2024 № 6679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tabs>
          <w:tab w:val="left" w:pos="567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-</w:t>
      </w:r>
      <w:r>
        <w:rPr>
          <w:sz w:val="26"/>
          <w:szCs w:val="26"/>
        </w:rPr>
        <w:t xml:space="preserve">Письмо ООО «Южнобайкальское» от 26.06.2024 № 341/24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tabs>
          <w:tab w:val="left" w:pos="567" w:leader="none"/>
        </w:tabs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  <w:t xml:space="preserve">По информации филиала АО «ИЭСК» «Восточные электрические сети» возможность технологического присоединения к сетям филиала АО «ИЭСК» «Восточные электрические сети» отсутствует.              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tabs>
          <w:tab w:val="left" w:pos="567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Сети централизованного водоснабжения и водоотведения отсутствуют.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tabs>
          <w:tab w:val="left" w:pos="567" w:leader="none"/>
        </w:tabs>
        <w:rPr>
          <w:sz w:val="26"/>
          <w:szCs w:val="26"/>
          <w:highlight w:val="none"/>
        </w:rPr>
      </w:pPr>
      <w:r>
        <w:rPr>
          <w:b/>
          <w:sz w:val="26"/>
          <w:szCs w:val="26"/>
        </w:rPr>
        <w:t xml:space="preserve">Дополнительная </w:t>
      </w:r>
      <w:r>
        <w:rPr>
          <w:b/>
          <w:sz w:val="26"/>
          <w:szCs w:val="26"/>
        </w:rPr>
        <w:t xml:space="preserve">информация:</w:t>
      </w:r>
      <w:r>
        <w:rPr>
          <w:b/>
          <w:sz w:val="26"/>
          <w:szCs w:val="26"/>
        </w:rPr>
        <w:t xml:space="preserve"> </w:t>
      </w:r>
      <w:r>
        <w:rPr>
          <w:sz w:val="26"/>
          <w:szCs w:val="26"/>
        </w:rPr>
        <w:t xml:space="preserve">На часть земельного участка установлен публичный сервитут АО «Иркутская электросетевая компания».</w:t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ind w:firstLine="709"/>
        <w:jc w:val="both"/>
        <w:tabs>
          <w:tab w:val="left" w:pos="567" w:leader="none"/>
        </w:tabs>
        <w:rPr>
          <w:sz w:val="26"/>
          <w:szCs w:val="26"/>
        </w:rPr>
      </w:pPr>
      <w:r>
        <w:rPr>
          <w:sz w:val="26"/>
          <w:szCs w:val="26"/>
          <w:highlight w:val="none"/>
        </w:rPr>
        <w:t xml:space="preserve">Требуется организация </w:t>
      </w:r>
      <w:r>
        <w:rPr>
          <w:sz w:val="26"/>
          <w:szCs w:val="26"/>
          <w:highlight w:val="none"/>
          <w:lang w:val="ru-RU"/>
        </w:rPr>
        <w:t xml:space="preserve">подъездных </w:t>
      </w:r>
      <w:r>
        <w:rPr>
          <w:sz w:val="26"/>
          <w:szCs w:val="26"/>
          <w:highlight w:val="none"/>
        </w:rPr>
        <w:t xml:space="preserve">путей к земельному участку.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tabs>
          <w:tab w:val="left" w:pos="567" w:leader="none"/>
        </w:tabs>
        <w:rPr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Срок действия договора аренды: </w:t>
      </w:r>
      <w:r>
        <w:rPr>
          <w:bCs/>
          <w:sz w:val="26"/>
          <w:szCs w:val="26"/>
        </w:rPr>
        <w:t xml:space="preserve">20 лет.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contextualSpacing/>
        <w:ind w:firstLine="709"/>
        <w:jc w:val="both"/>
        <w:tabs>
          <w:tab w:val="left" w:pos="540" w:leader="none"/>
          <w:tab w:val="left" w:pos="720" w:leader="none"/>
        </w:tabs>
        <w:rPr>
          <w:bCs/>
          <w:sz w:val="26"/>
          <w:szCs w:val="26"/>
        </w:rPr>
      </w:pPr>
      <w:r>
        <w:rPr>
          <w:b/>
          <w:bCs/>
          <w:sz w:val="26"/>
          <w:szCs w:val="26"/>
        </w:rPr>
        <w:tab/>
        <w:t xml:space="preserve">Начальный размер годовой арендной платы: 42</w:t>
      </w:r>
      <w:r>
        <w:rPr>
          <w:b/>
          <w:bCs/>
          <w:sz w:val="26"/>
          <w:szCs w:val="26"/>
        </w:rPr>
        <w:t xml:space="preserve"> 000 </w:t>
      </w:r>
      <w:r>
        <w:rPr>
          <w:bCs/>
          <w:sz w:val="26"/>
          <w:szCs w:val="26"/>
        </w:rPr>
        <w:t xml:space="preserve">(Сорок </w:t>
      </w:r>
      <w:r>
        <w:rPr>
          <w:bCs/>
          <w:sz w:val="26"/>
          <w:szCs w:val="26"/>
        </w:rPr>
        <w:t xml:space="preserve">две</w:t>
      </w:r>
      <w:r>
        <w:rPr>
          <w:bCs/>
          <w:sz w:val="26"/>
          <w:szCs w:val="26"/>
        </w:rPr>
        <w:t xml:space="preserve"> тысячи) рублей.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contextualSpacing/>
        <w:ind w:firstLine="709"/>
        <w:jc w:val="both"/>
        <w:tabs>
          <w:tab w:val="left" w:pos="540" w:leader="none"/>
          <w:tab w:val="left" w:pos="720" w:leader="none"/>
        </w:tabs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ab/>
        <w:t xml:space="preserve">Шаг аукциона: </w:t>
      </w:r>
      <w:r>
        <w:rPr>
          <w:bCs/>
          <w:sz w:val="26"/>
          <w:szCs w:val="26"/>
        </w:rPr>
        <w:t xml:space="preserve">3% от начального размера годовой арендной платы в сумме</w:t>
      </w:r>
      <w:r>
        <w:rPr>
          <w:b/>
          <w:bCs/>
          <w:sz w:val="26"/>
          <w:szCs w:val="26"/>
        </w:rPr>
        <w:t xml:space="preserve"> 1 26</w:t>
      </w:r>
      <w:r>
        <w:rPr>
          <w:b/>
          <w:bCs/>
          <w:sz w:val="26"/>
          <w:szCs w:val="26"/>
        </w:rPr>
        <w:t xml:space="preserve">0 </w:t>
      </w:r>
      <w:r>
        <w:rPr>
          <w:bCs/>
          <w:sz w:val="26"/>
          <w:szCs w:val="26"/>
        </w:rPr>
        <w:t xml:space="preserve">(Одна тысяча двести шестьдесят</w:t>
      </w:r>
      <w:r>
        <w:rPr>
          <w:bCs/>
          <w:sz w:val="26"/>
          <w:szCs w:val="26"/>
        </w:rPr>
        <w:t xml:space="preserve">) рублей.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contextualSpacing/>
        <w:ind w:firstLine="709"/>
        <w:jc w:val="both"/>
        <w:tabs>
          <w:tab w:val="left" w:pos="540" w:leader="none"/>
          <w:tab w:val="left" w:pos="720" w:leader="none"/>
        </w:tabs>
        <w:rPr>
          <w:bCs/>
          <w:sz w:val="26"/>
          <w:szCs w:val="26"/>
        </w:rPr>
      </w:pPr>
      <w:r>
        <w:rPr>
          <w:b/>
          <w:bCs/>
          <w:sz w:val="26"/>
          <w:szCs w:val="26"/>
        </w:rPr>
        <w:tab/>
        <w:t xml:space="preserve">Размер задатка: </w:t>
      </w:r>
      <w:r>
        <w:rPr>
          <w:bCs/>
          <w:sz w:val="26"/>
          <w:szCs w:val="26"/>
        </w:rPr>
        <w:t xml:space="preserve">100 % начального размера годовой арендной платы в сумме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 42</w:t>
      </w:r>
      <w:r>
        <w:rPr>
          <w:b/>
          <w:bCs/>
          <w:sz w:val="26"/>
          <w:szCs w:val="26"/>
        </w:rPr>
        <w:t xml:space="preserve"> 000 </w:t>
      </w:r>
      <w:r>
        <w:rPr>
          <w:bCs/>
          <w:sz w:val="26"/>
          <w:szCs w:val="26"/>
        </w:rPr>
        <w:t xml:space="preserve">(Сорок </w:t>
      </w:r>
      <w:r>
        <w:rPr>
          <w:bCs/>
          <w:sz w:val="26"/>
          <w:szCs w:val="26"/>
        </w:rPr>
        <w:t xml:space="preserve">две</w:t>
      </w:r>
      <w:r>
        <w:rPr>
          <w:bCs/>
          <w:sz w:val="26"/>
          <w:szCs w:val="26"/>
        </w:rPr>
        <w:t xml:space="preserve"> тысячи)</w:t>
      </w:r>
      <w:r>
        <w:rPr>
          <w:bCs/>
          <w:sz w:val="26"/>
          <w:szCs w:val="26"/>
        </w:rPr>
        <w:t xml:space="preserve"> рублей.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pStyle w:val="888"/>
        <w:numPr>
          <w:ilvl w:val="0"/>
          <w:numId w:val="12"/>
        </w:numPr>
        <w:ind w:left="0" w:firstLine="709"/>
        <w:jc w:val="both"/>
        <w:spacing w:line="200" w:lineRule="atLeast"/>
        <w:rPr>
          <w:rFonts w:eastAsia="Calibri"/>
          <w:b/>
          <w:bCs/>
          <w:color w:val="1c1c1c"/>
          <w:sz w:val="26"/>
          <w:szCs w:val="26"/>
        </w:rPr>
      </w:pPr>
      <w:r>
        <w:rPr>
          <w:rFonts w:eastAsia="Calibri"/>
          <w:b/>
          <w:bCs/>
          <w:color w:val="1c1c1c"/>
          <w:sz w:val="26"/>
          <w:szCs w:val="26"/>
        </w:rPr>
        <w:t xml:space="preserve">Возможность отказаться от проведения </w:t>
      </w:r>
      <w:r>
        <w:rPr>
          <w:rFonts w:eastAsia="Calibri"/>
          <w:b/>
          <w:bCs/>
          <w:color w:val="1c1c1c"/>
          <w:sz w:val="26"/>
          <w:szCs w:val="26"/>
        </w:rPr>
        <w:t xml:space="preserve">электронного </w:t>
      </w:r>
      <w:r>
        <w:rPr>
          <w:rFonts w:eastAsia="Calibri"/>
          <w:b/>
          <w:bCs/>
          <w:color w:val="1c1c1c"/>
          <w:sz w:val="26"/>
          <w:szCs w:val="26"/>
        </w:rPr>
        <w:t xml:space="preserve">аукциона</w:t>
      </w:r>
      <w:r>
        <w:rPr>
          <w:rFonts w:eastAsia="Calibri"/>
          <w:b/>
          <w:bCs/>
          <w:color w:val="1c1c1c"/>
          <w:sz w:val="26"/>
          <w:szCs w:val="26"/>
        </w:rPr>
        <w:t xml:space="preserve">, </w:t>
      </w:r>
      <w:r>
        <w:rPr>
          <w:rFonts w:eastAsia="Calibri"/>
          <w:b/>
          <w:bCs/>
          <w:color w:val="1c1c1c"/>
          <w:sz w:val="26"/>
          <w:szCs w:val="26"/>
        </w:rPr>
        <w:t xml:space="preserve">внесений изменений в извещение о проведении аукциона</w:t>
      </w:r>
      <w:r>
        <w:rPr>
          <w:rFonts w:eastAsia="Calibri"/>
          <w:b/>
          <w:bCs/>
          <w:color w:val="1c1c1c"/>
          <w:sz w:val="26"/>
          <w:szCs w:val="26"/>
        </w:rPr>
        <w:t xml:space="preserve"> и продлении срока подачи заявок</w:t>
      </w:r>
      <w:r>
        <w:rPr>
          <w:rFonts w:eastAsia="Calibri"/>
          <w:b/>
          <w:bCs/>
          <w:color w:val="1c1c1c"/>
          <w:sz w:val="26"/>
          <w:szCs w:val="26"/>
        </w:rPr>
      </w:r>
      <w:r>
        <w:rPr>
          <w:rFonts w:eastAsia="Calibri"/>
          <w:b/>
          <w:bCs/>
          <w:color w:val="1c1c1c"/>
          <w:sz w:val="26"/>
          <w:szCs w:val="26"/>
        </w:rPr>
      </w:r>
    </w:p>
    <w:p>
      <w:pPr>
        <w:pStyle w:val="872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Уполномоченный орган принимает решение об отказе в проведении аукциона в случае выявления обстоятельств, предусмотренных </w:t>
      </w:r>
      <w:hyperlink w:tooltip="8. Земельный участок, находящийся в государственной или муниципальной собственности, не может быть предметом аукциона, если:" w:anchor="P1229" w:history="1">
        <w:r>
          <w:rPr>
            <w:rFonts w:ascii="Times New Roman" w:hAnsi="Times New Roman" w:cs="Times New Roman"/>
            <w:sz w:val="26"/>
            <w:szCs w:val="26"/>
          </w:rPr>
          <w:t xml:space="preserve">пунктом 8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статьи 39.11 </w:t>
      </w:r>
      <w:r>
        <w:rPr>
          <w:rFonts w:ascii="Times New Roman" w:hAnsi="Times New Roman" w:cs="Times New Roman"/>
          <w:sz w:val="26"/>
          <w:szCs w:val="26"/>
        </w:rPr>
        <w:t xml:space="preserve">Земельного кодекса Российской Федерации.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88"/>
        <w:ind w:left="0" w:firstLine="851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Извещение об отказе в проведении аукциона размещается на официальном сайте организатором аукциона в течение</w:t>
      </w:r>
      <w:r>
        <w:rPr>
          <w:sz w:val="26"/>
          <w:szCs w:val="26"/>
        </w:rPr>
        <w:t xml:space="preserve">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88"/>
        <w:ind w:left="0" w:firstLine="851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Уполномоченный орган не позднее чем за один рабочий день до даты окончания приема заявок на участие в аукционе вправе принять решение о внесении изменений в извещение о проведении аукциона в целях исправления технических ошибок, не свя</w:t>
      </w:r>
      <w:r>
        <w:rPr>
          <w:sz w:val="26"/>
          <w:szCs w:val="26"/>
        </w:rPr>
        <w:t xml:space="preserve">занных с предметом аукциона, начальной ценой предмета аукциона, "шагом аукциона", размером задатка, со сроком заключаемого по результатам аукциона договора аренды, а также с видом права, на котором земельный участок предоставляется по результатам аукциона.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88"/>
        <w:ind w:left="0" w:firstLine="851"/>
        <w:jc w:val="both"/>
        <w:spacing w:line="200" w:lineRule="atLeast"/>
        <w:rPr>
          <w:rFonts w:eastAsia="Calibri"/>
          <w:b/>
          <w:bCs/>
          <w:color w:val="1c1c1c"/>
          <w:sz w:val="26"/>
          <w:szCs w:val="26"/>
        </w:rPr>
      </w:pPr>
      <w:r>
        <w:rPr>
          <w:sz w:val="26"/>
          <w:szCs w:val="26"/>
        </w:rPr>
        <w:t xml:space="preserve">В</w:t>
      </w:r>
      <w:r>
        <w:rPr>
          <w:sz w:val="26"/>
          <w:szCs w:val="26"/>
        </w:rPr>
        <w:t xml:space="preserve"> случае, если за один рабочий день до даты окончания приема заявок на участие в аукционе не поступило ни одной заявки, уполномоченный орган до момента окончания срока подачи заявок на участие в аукционе может принять решение о продлении срока подачи заявок</w:t>
      </w:r>
      <w:r>
        <w:rPr>
          <w:rFonts w:eastAsia="Calibri"/>
          <w:b/>
          <w:bCs/>
          <w:color w:val="1c1c1c"/>
          <w:sz w:val="26"/>
          <w:szCs w:val="26"/>
        </w:rPr>
      </w:r>
      <w:r>
        <w:rPr>
          <w:rFonts w:eastAsia="Calibri"/>
          <w:b/>
          <w:bCs/>
          <w:color w:val="1c1c1c"/>
          <w:sz w:val="26"/>
          <w:szCs w:val="26"/>
        </w:rPr>
      </w:r>
    </w:p>
    <w:p>
      <w:pPr>
        <w:pStyle w:val="888"/>
        <w:numPr>
          <w:ilvl w:val="0"/>
          <w:numId w:val="12"/>
        </w:numPr>
        <w:ind w:left="0" w:firstLine="709"/>
        <w:jc w:val="both"/>
        <w:spacing w:line="200" w:lineRule="atLeast"/>
        <w:rPr>
          <w:rFonts w:cs="Calibri"/>
          <w:b/>
          <w:color w:val="000000"/>
          <w:sz w:val="26"/>
          <w:szCs w:val="26"/>
        </w:rPr>
      </w:pPr>
      <w:r>
        <w:rPr>
          <w:rFonts w:eastAsia="Calibri"/>
          <w:b/>
          <w:bCs/>
          <w:color w:val="1c1c1c"/>
          <w:sz w:val="26"/>
          <w:szCs w:val="26"/>
        </w:rPr>
        <w:t xml:space="preserve">Срок и порядок регистрации на электронной площадке</w:t>
      </w:r>
      <w:r>
        <w:rPr>
          <w:rFonts w:cs="Calibri"/>
          <w:b/>
          <w:color w:val="000000"/>
          <w:sz w:val="26"/>
          <w:szCs w:val="26"/>
        </w:rPr>
      </w:r>
      <w:r>
        <w:rPr>
          <w:rFonts w:cs="Calibri"/>
          <w:b/>
          <w:color w:val="000000"/>
          <w:sz w:val="26"/>
          <w:szCs w:val="26"/>
        </w:rPr>
      </w:r>
    </w:p>
    <w:p>
      <w:pPr>
        <w:ind w:firstLine="709"/>
        <w:jc w:val="both"/>
        <w:rPr>
          <w:rFonts w:cs="Calibri"/>
          <w:bCs/>
          <w:color w:val="000000"/>
          <w:sz w:val="26"/>
          <w:szCs w:val="26"/>
        </w:rPr>
      </w:pPr>
      <w:r>
        <w:rPr>
          <w:rFonts w:cs="Calibri"/>
          <w:color w:val="000000"/>
          <w:sz w:val="26"/>
          <w:szCs w:val="26"/>
        </w:rPr>
        <w:t xml:space="preserve">Для обеспечения доступа к участию в </w:t>
      </w:r>
      <w:r>
        <w:rPr>
          <w:sz w:val="26"/>
          <w:szCs w:val="26"/>
        </w:rPr>
        <w:t xml:space="preserve">электронном</w:t>
      </w:r>
      <w:r>
        <w:rPr>
          <w:rFonts w:cs="Calibri"/>
          <w:color w:val="000000"/>
          <w:sz w:val="26"/>
          <w:szCs w:val="26"/>
        </w:rPr>
        <w:t xml:space="preserve"> </w:t>
      </w:r>
      <w:r>
        <w:rPr>
          <w:rFonts w:cs="Calibri"/>
          <w:color w:val="000000"/>
          <w:sz w:val="26"/>
          <w:szCs w:val="26"/>
        </w:rPr>
        <w:t xml:space="preserve">аукционе </w:t>
      </w:r>
      <w:r>
        <w:rPr>
          <w:rFonts w:cs="Calibri"/>
          <w:color w:val="000000"/>
          <w:sz w:val="26"/>
          <w:szCs w:val="26"/>
        </w:rPr>
        <w:t xml:space="preserve">заявителям</w:t>
      </w:r>
      <w:r>
        <w:rPr>
          <w:rFonts w:cs="Calibri"/>
          <w:color w:val="000000"/>
          <w:sz w:val="26"/>
          <w:szCs w:val="26"/>
        </w:rPr>
        <w:t xml:space="preserve"> необходимо пройти процедуру регистрации в соответствии с регламентом электронной площадки оператора </w:t>
      </w:r>
      <w:r>
        <w:rPr>
          <w:bCs/>
          <w:color w:val="1c1c1c"/>
          <w:sz w:val="26"/>
          <w:szCs w:val="26"/>
        </w:rPr>
        <w:t xml:space="preserve">АО «Сбербанк-АСТ» (</w:t>
      </w:r>
      <w:r>
        <w:rPr>
          <w:sz w:val="26"/>
          <w:szCs w:val="26"/>
          <w:lang w:val="en-US"/>
        </w:rPr>
        <w:t xml:space="preserve">utp</w:t>
      </w:r>
      <w:r>
        <w:rPr>
          <w:sz w:val="26"/>
          <w:szCs w:val="26"/>
        </w:rPr>
        <w:t xml:space="preserve">.</w:t>
      </w:r>
      <w:hyperlink r:id="rId13" w:tooltip="http://sberbank-ast.ru" w:history="1">
        <w:r>
          <w:rPr>
            <w:rStyle w:val="870"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70"/>
            <w:color w:val="auto"/>
            <w:sz w:val="26"/>
            <w:szCs w:val="26"/>
            <w:u w:val="none"/>
          </w:rPr>
          <w:t xml:space="preserve">-</w:t>
        </w:r>
        <w:r>
          <w:rPr>
            <w:rStyle w:val="870"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70"/>
            <w:color w:val="auto"/>
            <w:sz w:val="26"/>
            <w:szCs w:val="26"/>
            <w:u w:val="none"/>
          </w:rPr>
          <w:t xml:space="preserve">.</w:t>
        </w:r>
        <w:r>
          <w:rPr>
            <w:rStyle w:val="870"/>
            <w:color w:val="auto"/>
            <w:sz w:val="26"/>
            <w:szCs w:val="26"/>
            <w:u w:val="none"/>
          </w:rPr>
          <w:t xml:space="preserve">ru</w:t>
        </w:r>
      </w:hyperlink>
      <w:r>
        <w:rPr>
          <w:rStyle w:val="870"/>
          <w:color w:val="auto"/>
          <w:sz w:val="26"/>
          <w:szCs w:val="26"/>
        </w:rPr>
        <w:t xml:space="preserve">)</w:t>
      </w:r>
      <w:r>
        <w:rPr>
          <w:rFonts w:cs="Calibri"/>
          <w:color w:val="000000"/>
          <w:sz w:val="26"/>
          <w:szCs w:val="26"/>
        </w:rPr>
        <w:t xml:space="preserve"> </w:t>
      </w:r>
      <w:r>
        <w:rPr>
          <w:rFonts w:cs="Calibri"/>
          <w:color w:val="000000"/>
          <w:sz w:val="26"/>
          <w:szCs w:val="26"/>
        </w:rPr>
        <w:t xml:space="preserve">(далее - </w:t>
      </w:r>
      <w:r>
        <w:rPr>
          <w:rFonts w:cs="Calibri"/>
          <w:bCs/>
          <w:color w:val="000000"/>
          <w:sz w:val="26"/>
          <w:szCs w:val="26"/>
        </w:rPr>
        <w:t xml:space="preserve">электронная площадка</w:t>
      </w:r>
      <w:r>
        <w:rPr>
          <w:rFonts w:cs="Calibri"/>
          <w:color w:val="000000"/>
          <w:sz w:val="26"/>
          <w:szCs w:val="26"/>
        </w:rPr>
        <w:t xml:space="preserve">).</w:t>
      </w:r>
      <w:r>
        <w:rPr>
          <w:rFonts w:cs="Calibri"/>
          <w:bCs/>
          <w:color w:val="000000"/>
          <w:sz w:val="26"/>
          <w:szCs w:val="26"/>
        </w:rPr>
        <w:t xml:space="preserve"> Для прохождения процедуры регистрации </w:t>
      </w:r>
      <w:r>
        <w:rPr>
          <w:rFonts w:cs="Calibri"/>
          <w:bCs/>
          <w:color w:val="000000"/>
          <w:sz w:val="26"/>
          <w:szCs w:val="26"/>
        </w:rPr>
        <w:t xml:space="preserve">заявителю</w:t>
      </w:r>
      <w:r>
        <w:rPr>
          <w:rFonts w:cs="Calibri"/>
          <w:bCs/>
          <w:color w:val="000000"/>
          <w:sz w:val="26"/>
          <w:szCs w:val="26"/>
        </w:rPr>
        <w:t xml:space="preserve"> необходимо получить усиленную квалифицирован</w:t>
      </w:r>
      <w:r>
        <w:rPr>
          <w:rFonts w:cs="Calibri"/>
          <w:bCs/>
          <w:color w:val="000000"/>
          <w:sz w:val="26"/>
          <w:szCs w:val="26"/>
        </w:rPr>
        <w:t xml:space="preserve">ную электронную подпись (далее - </w:t>
      </w:r>
      <w:r>
        <w:rPr>
          <w:rFonts w:cs="Calibri"/>
          <w:bCs/>
          <w:color w:val="000000"/>
          <w:sz w:val="26"/>
          <w:szCs w:val="26"/>
        </w:rPr>
        <w:t xml:space="preserve">КЭП) в аккредитованном удостоверяющем центре.</w:t>
      </w:r>
      <w:r>
        <w:rPr>
          <w:rFonts w:cs="Calibri"/>
          <w:bCs/>
          <w:color w:val="000000"/>
          <w:sz w:val="26"/>
          <w:szCs w:val="26"/>
        </w:rPr>
      </w:r>
      <w:r>
        <w:rPr>
          <w:rFonts w:cs="Calibri"/>
          <w:bCs/>
          <w:color w:val="000000"/>
          <w:sz w:val="26"/>
          <w:szCs w:val="26"/>
        </w:rPr>
      </w:r>
    </w:p>
    <w:p>
      <w:pPr>
        <w:ind w:firstLine="709"/>
        <w:jc w:val="both"/>
        <w:rPr>
          <w:rFonts w:cs="Calibri"/>
          <w:color w:val="000000"/>
          <w:sz w:val="26"/>
          <w:szCs w:val="26"/>
        </w:rPr>
      </w:pPr>
      <w:r>
        <w:rPr>
          <w:rFonts w:cs="Calibri"/>
          <w:bCs/>
          <w:color w:val="000000"/>
          <w:sz w:val="26"/>
          <w:szCs w:val="26"/>
        </w:rPr>
        <w:t xml:space="preserve">Регистрация на электронной площадке </w:t>
      </w:r>
      <w:r>
        <w:rPr>
          <w:rFonts w:cs="Calibri"/>
          <w:bCs/>
          <w:color w:val="000000"/>
          <w:sz w:val="26"/>
          <w:szCs w:val="26"/>
        </w:rPr>
        <w:t xml:space="preserve">заявителей</w:t>
      </w:r>
      <w:r>
        <w:rPr>
          <w:rFonts w:cs="Calibri"/>
          <w:bCs/>
          <w:color w:val="000000"/>
          <w:sz w:val="26"/>
          <w:szCs w:val="26"/>
        </w:rPr>
        <w:t xml:space="preserve"> </w:t>
      </w:r>
      <w:r>
        <w:rPr>
          <w:rFonts w:cs="Calibri"/>
          <w:color w:val="000000"/>
          <w:sz w:val="26"/>
          <w:szCs w:val="26"/>
        </w:rPr>
        <w:t xml:space="preserve">на участие в </w:t>
      </w:r>
      <w:r>
        <w:rPr>
          <w:rFonts w:cs="Calibri"/>
          <w:color w:val="000000"/>
          <w:sz w:val="26"/>
          <w:szCs w:val="26"/>
        </w:rPr>
        <w:t xml:space="preserve">электронном </w:t>
      </w:r>
      <w:r>
        <w:rPr>
          <w:rFonts w:cs="Calibri"/>
          <w:color w:val="000000"/>
          <w:sz w:val="26"/>
          <w:szCs w:val="26"/>
        </w:rPr>
        <w:t xml:space="preserve">аукционе осуществляется ежедневно, круглосуточно, но не позднее даты и времени окончания подачи (приема) заявок, указанных </w:t>
      </w:r>
      <w:r>
        <w:rPr>
          <w:rFonts w:cs="Calibri"/>
          <w:color w:val="000000"/>
          <w:sz w:val="26"/>
          <w:szCs w:val="26"/>
        </w:rPr>
        <w:t xml:space="preserve">в информационном сообщении</w:t>
      </w:r>
      <w:r>
        <w:rPr>
          <w:rFonts w:cs="Calibri"/>
          <w:color w:val="000000"/>
          <w:sz w:val="26"/>
          <w:szCs w:val="26"/>
        </w:rPr>
        <w:t xml:space="preserve">.</w:t>
      </w:r>
      <w:r>
        <w:rPr>
          <w:rFonts w:cs="Calibri"/>
          <w:color w:val="000000"/>
          <w:sz w:val="26"/>
          <w:szCs w:val="26"/>
        </w:rPr>
      </w:r>
      <w:r>
        <w:rPr>
          <w:rFonts w:cs="Calibri"/>
          <w:color w:val="000000"/>
          <w:sz w:val="26"/>
          <w:szCs w:val="26"/>
        </w:rPr>
      </w:r>
    </w:p>
    <w:p>
      <w:pPr>
        <w:ind w:firstLine="709"/>
        <w:jc w:val="both"/>
        <w:rPr>
          <w:rFonts w:cs="Calibri"/>
          <w:sz w:val="26"/>
          <w:szCs w:val="26"/>
        </w:rPr>
      </w:pPr>
      <w:r>
        <w:rPr>
          <w:rFonts w:cs="Calibri"/>
          <w:color w:val="000000"/>
          <w:sz w:val="26"/>
          <w:szCs w:val="26"/>
        </w:rPr>
        <w:t xml:space="preserve">Регистрация на электронной площадке осуществляется без взимания платы.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ind w:firstLine="709"/>
        <w:jc w:val="both"/>
        <w:rPr>
          <w:rFonts w:cs="Calibri"/>
          <w:sz w:val="26"/>
          <w:szCs w:val="26"/>
        </w:rPr>
      </w:pPr>
      <w:r>
        <w:rPr>
          <w:rFonts w:cs="Calibri"/>
          <w:sz w:val="26"/>
          <w:szCs w:val="26"/>
        </w:rPr>
        <w:t xml:space="preserve">Регистрации на электронной площадке подлежат </w:t>
      </w:r>
      <w:r>
        <w:rPr>
          <w:rFonts w:cs="Calibri"/>
          <w:sz w:val="26"/>
          <w:szCs w:val="26"/>
        </w:rPr>
        <w:t xml:space="preserve">заявители</w:t>
      </w:r>
      <w:r>
        <w:rPr>
          <w:rFonts w:cs="Calibri"/>
          <w:sz w:val="26"/>
          <w:szCs w:val="26"/>
        </w:rPr>
        <w:t xml:space="preserve">, ранее не зарегистрированные на электронной площадке или регистрация которых на электронной площадке, была ими прекращена.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ind w:firstLine="709"/>
        <w:jc w:val="both"/>
        <w:rPr>
          <w:rFonts w:cs="Calibri"/>
          <w:sz w:val="26"/>
          <w:szCs w:val="26"/>
        </w:rPr>
      </w:pPr>
      <w:r>
        <w:rPr>
          <w:rFonts w:cs="Calibri"/>
          <w:sz w:val="26"/>
          <w:szCs w:val="26"/>
        </w:rPr>
        <w:t xml:space="preserve">Плата за услуги оператора </w:t>
      </w:r>
      <w:r>
        <w:rPr>
          <w:sz w:val="26"/>
          <w:szCs w:val="26"/>
        </w:rPr>
        <w:t xml:space="preserve">с победителя электронного аукциона или иных лиц </w:t>
      </w:r>
      <w:r>
        <w:rPr>
          <w:sz w:val="26"/>
          <w:szCs w:val="26"/>
        </w:rPr>
        <w:t xml:space="preserve">с которыми в соответствии с </w:t>
      </w:r>
      <w:hyperlink r:id="rId14" w:tooltip="consultantplus://offline/ref=FC846897312E2BD4721B2384DBE8A58C3C2A4FAB97764E8E4F2A57D7AE78929A029A8F6F69D38F281FBB3293FE6B28B11F6A190F67i3U6J" w:history="1">
        <w:r>
          <w:rPr>
            <w:sz w:val="26"/>
            <w:szCs w:val="26"/>
          </w:rPr>
          <w:t xml:space="preserve">пунктами 13</w:t>
        </w:r>
      </w:hyperlink>
      <w:r>
        <w:rPr>
          <w:sz w:val="26"/>
          <w:szCs w:val="26"/>
        </w:rPr>
        <w:t xml:space="preserve">, </w:t>
      </w:r>
      <w:hyperlink r:id="rId15" w:tooltip="consultantplus://offline/ref=FC846897312E2BD4721B2384DBE8A58C3C2A4FAB97764E8E4F2A57D7AE78929A029A8F6F68DA8F281FBB3293FE6B28B11F6A190F67i3U6J" w:history="1">
        <w:r>
          <w:rPr>
            <w:sz w:val="26"/>
            <w:szCs w:val="26"/>
          </w:rPr>
          <w:t xml:space="preserve">14</w:t>
        </w:r>
      </w:hyperlink>
      <w:r>
        <w:rPr>
          <w:sz w:val="26"/>
          <w:szCs w:val="26"/>
        </w:rPr>
        <w:t xml:space="preserve">, </w:t>
      </w:r>
      <w:hyperlink r:id="rId16" w:tooltip="consultantplus://offline/ref=FC846897312E2BD4721B2384DBE8A58C3C2A4FAB97764E8E4F2A57D7AE78929A029A8F6E61D88F281FBB3293FE6B28B11F6A190F67i3U6J" w:history="1">
        <w:r>
          <w:rPr>
            <w:sz w:val="26"/>
            <w:szCs w:val="26"/>
          </w:rPr>
          <w:t xml:space="preserve">20</w:t>
        </w:r>
      </w:hyperlink>
      <w:r>
        <w:rPr>
          <w:sz w:val="26"/>
          <w:szCs w:val="26"/>
        </w:rPr>
        <w:t xml:space="preserve"> и </w:t>
      </w:r>
      <w:hyperlink r:id="rId17" w:tooltip="consultantplus://offline/ref=FC846897312E2BD4721B2384DBE8A58C3C2A4FAB97764E8E4F2A57D7AE78929A029A8F6861DB867F4CF433CFB83E3BB21F6A1A0F7B362CD9iBU9J" w:history="1">
        <w:r>
          <w:rPr>
            <w:sz w:val="26"/>
            <w:szCs w:val="26"/>
          </w:rPr>
          <w:t xml:space="preserve">25 статьи 39.12</w:t>
        </w:r>
      </w:hyperlink>
      <w:r>
        <w:rPr>
          <w:sz w:val="26"/>
          <w:szCs w:val="26"/>
        </w:rPr>
        <w:t xml:space="preserve"> Земельного Код</w:t>
      </w:r>
      <w:r>
        <w:rPr>
          <w:sz w:val="26"/>
          <w:szCs w:val="26"/>
        </w:rPr>
        <w:t xml:space="preserve">екса заключается договор аренды</w:t>
      </w:r>
      <w:r>
        <w:rPr>
          <w:sz w:val="26"/>
          <w:szCs w:val="26"/>
        </w:rPr>
        <w:t xml:space="preserve"> земельного участка</w:t>
      </w:r>
      <w:r>
        <w:rPr>
          <w:sz w:val="26"/>
          <w:szCs w:val="26"/>
        </w:rPr>
        <w:t xml:space="preserve">,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не взимается, в соответствии с тарифами </w:t>
      </w:r>
      <w:r>
        <w:rPr>
          <w:rFonts w:cs="Calibri"/>
          <w:sz w:val="26"/>
          <w:szCs w:val="26"/>
        </w:rPr>
        <w:t xml:space="preserve">АО «Сбербанк-АСТ».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pStyle w:val="888"/>
        <w:numPr>
          <w:ilvl w:val="0"/>
          <w:numId w:val="12"/>
        </w:numPr>
        <w:ind w:left="0" w:firstLine="709"/>
        <w:jc w:val="both"/>
        <w:spacing w:line="200" w:lineRule="atLeast"/>
        <w:rPr>
          <w:rFonts w:cs="Calibri"/>
          <w:sz w:val="26"/>
          <w:szCs w:val="26"/>
        </w:rPr>
      </w:pPr>
      <w:r>
        <w:rPr>
          <w:rFonts w:cs="Calibri"/>
          <w:b/>
          <w:bCs/>
          <w:sz w:val="26"/>
          <w:szCs w:val="26"/>
        </w:rPr>
        <w:t xml:space="preserve">Требования к участникам </w:t>
      </w:r>
      <w:r>
        <w:rPr>
          <w:rFonts w:cs="Calibri"/>
          <w:b/>
          <w:bCs/>
          <w:sz w:val="26"/>
          <w:szCs w:val="26"/>
        </w:rPr>
        <w:t xml:space="preserve">электронного </w:t>
      </w:r>
      <w:r>
        <w:rPr>
          <w:rFonts w:cs="Calibri"/>
          <w:b/>
          <w:bCs/>
          <w:sz w:val="26"/>
          <w:szCs w:val="26"/>
        </w:rPr>
        <w:t xml:space="preserve">аукциона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pStyle w:val="888"/>
        <w:ind w:left="0" w:firstLine="709"/>
        <w:jc w:val="both"/>
        <w:spacing w:line="200" w:lineRule="atLeast"/>
        <w:rPr>
          <w:rFonts w:cs="Calibri"/>
          <w:sz w:val="26"/>
          <w:szCs w:val="26"/>
        </w:rPr>
      </w:pPr>
      <w:r>
        <w:rPr>
          <w:sz w:val="26"/>
          <w:szCs w:val="26"/>
        </w:rPr>
        <w:t xml:space="preserve">К участию в электронном аукционе допускаются заявители, своевременно подавшие заявку, представившие надлежащим образом оформленные документы, и обеспечившие поступление установленного размера задатка в порядке и сроки, указанные в извещении.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pStyle w:val="888"/>
        <w:numPr>
          <w:ilvl w:val="0"/>
          <w:numId w:val="12"/>
        </w:numPr>
        <w:ind w:left="0" w:firstLine="709"/>
        <w:jc w:val="both"/>
        <w:spacing w:line="200" w:lineRule="atLeast"/>
        <w:rPr>
          <w:rFonts w:cs="Calibri"/>
          <w:b/>
          <w:sz w:val="26"/>
          <w:szCs w:val="26"/>
        </w:rPr>
      </w:pPr>
      <w:r>
        <w:rPr>
          <w:b/>
          <w:sz w:val="26"/>
          <w:szCs w:val="26"/>
        </w:rPr>
        <w:t xml:space="preserve">Порядок подачи (приема) и отзыва заявок на участие в </w:t>
      </w:r>
      <w:r>
        <w:rPr>
          <w:b/>
          <w:sz w:val="26"/>
          <w:szCs w:val="26"/>
        </w:rPr>
        <w:t xml:space="preserve">электронном </w:t>
      </w:r>
      <w:r>
        <w:rPr>
          <w:b/>
          <w:sz w:val="26"/>
          <w:szCs w:val="26"/>
        </w:rPr>
        <w:t xml:space="preserve">аукционе, а также перечень прилагаемых документов: </w:t>
      </w:r>
      <w:r>
        <w:rPr>
          <w:rFonts w:cs="Calibri"/>
          <w:b/>
          <w:sz w:val="26"/>
          <w:szCs w:val="26"/>
        </w:rPr>
      </w:r>
      <w:r>
        <w:rPr>
          <w:rFonts w:cs="Calibri"/>
          <w:b/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Для участия в </w:t>
      </w:r>
      <w:r>
        <w:rPr>
          <w:sz w:val="26"/>
          <w:szCs w:val="26"/>
        </w:rPr>
        <w:t xml:space="preserve">аукционах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заявитель</w:t>
      </w:r>
      <w:r>
        <w:rPr>
          <w:sz w:val="26"/>
          <w:szCs w:val="26"/>
        </w:rPr>
        <w:t xml:space="preserve"> пр</w:t>
      </w:r>
      <w:r>
        <w:rPr>
          <w:sz w:val="26"/>
          <w:szCs w:val="26"/>
        </w:rPr>
        <w:t xml:space="preserve">едставляет организатору </w:t>
      </w:r>
      <w:r>
        <w:rPr>
          <w:sz w:val="26"/>
          <w:szCs w:val="26"/>
        </w:rPr>
        <w:t xml:space="preserve">электронного аукциона</w:t>
      </w:r>
      <w:r>
        <w:rPr>
          <w:sz w:val="26"/>
          <w:szCs w:val="26"/>
        </w:rPr>
        <w:t xml:space="preserve"> через </w:t>
      </w:r>
      <w:r>
        <w:rPr>
          <w:rFonts w:cs="Calibri"/>
          <w:b/>
          <w:sz w:val="26"/>
          <w:szCs w:val="26"/>
        </w:rPr>
        <w:t xml:space="preserve">электронную площадку </w:t>
      </w:r>
      <w:r>
        <w:rPr>
          <w:b/>
          <w:bCs/>
          <w:sz w:val="26"/>
          <w:szCs w:val="26"/>
        </w:rPr>
        <w:t xml:space="preserve">АО «Сбербанк-АСТ»</w:t>
      </w:r>
      <w:r>
        <w:rPr>
          <w:bCs/>
          <w:sz w:val="26"/>
          <w:szCs w:val="26"/>
        </w:rPr>
        <w:t xml:space="preserve"> (</w:t>
      </w:r>
      <w:r>
        <w:rPr>
          <w:sz w:val="26"/>
          <w:szCs w:val="26"/>
          <w:lang w:val="en-US"/>
        </w:rPr>
        <w:t xml:space="preserve">utp</w:t>
      </w:r>
      <w:r>
        <w:rPr>
          <w:sz w:val="26"/>
          <w:szCs w:val="26"/>
        </w:rPr>
        <w:t xml:space="preserve">.</w:t>
      </w:r>
      <w:hyperlink r:id="rId18" w:tooltip="http://sberbank-ast.ru" w:history="1">
        <w:r>
          <w:rPr>
            <w:rStyle w:val="870"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70"/>
            <w:color w:val="auto"/>
            <w:sz w:val="26"/>
            <w:szCs w:val="26"/>
            <w:u w:val="none"/>
          </w:rPr>
          <w:t xml:space="preserve">-</w:t>
        </w:r>
        <w:r>
          <w:rPr>
            <w:rStyle w:val="870"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70"/>
            <w:color w:val="auto"/>
            <w:sz w:val="26"/>
            <w:szCs w:val="26"/>
            <w:u w:val="none"/>
          </w:rPr>
          <w:t xml:space="preserve">.</w:t>
        </w:r>
        <w:r>
          <w:rPr>
            <w:rStyle w:val="870"/>
            <w:color w:val="auto"/>
            <w:sz w:val="26"/>
            <w:szCs w:val="26"/>
            <w:u w:val="none"/>
          </w:rPr>
          <w:t xml:space="preserve">ru</w:t>
        </w:r>
      </w:hyperlink>
      <w:r>
        <w:rPr>
          <w:rStyle w:val="870"/>
          <w:color w:val="auto"/>
          <w:sz w:val="26"/>
          <w:szCs w:val="26"/>
          <w:u w:val="none"/>
        </w:rPr>
        <w:t xml:space="preserve">)</w:t>
      </w:r>
      <w:r>
        <w:rPr>
          <w:rStyle w:val="870"/>
          <w:color w:val="auto"/>
          <w:sz w:val="26"/>
          <w:szCs w:val="26"/>
          <w:u w:val="none"/>
        </w:rPr>
        <w:t xml:space="preserve"> </w:t>
      </w:r>
      <w:r>
        <w:rPr>
          <w:sz w:val="26"/>
          <w:szCs w:val="26"/>
        </w:rPr>
        <w:t xml:space="preserve">в установленный в извещении о проведении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 срок следующие документы: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1) заявка на участие в </w:t>
      </w:r>
      <w:r>
        <w:rPr>
          <w:sz w:val="26"/>
          <w:szCs w:val="26"/>
        </w:rPr>
        <w:t xml:space="preserve">электронном </w:t>
      </w:r>
      <w:r>
        <w:rPr>
          <w:sz w:val="26"/>
          <w:szCs w:val="26"/>
        </w:rPr>
        <w:t xml:space="preserve">аукционе с указанием банковских реквизитов счета для возврата задатка</w:t>
      </w:r>
      <w:r>
        <w:rPr>
          <w:sz w:val="26"/>
          <w:szCs w:val="26"/>
        </w:rPr>
        <w:t xml:space="preserve"> заполняется в электронной форме</w:t>
      </w:r>
      <w:r>
        <w:rPr>
          <w:sz w:val="26"/>
          <w:szCs w:val="26"/>
        </w:rPr>
        <w:t xml:space="preserve"> (с приложением предусмотренных извещением документов)</w:t>
      </w:r>
      <w:r>
        <w:rPr>
          <w:sz w:val="26"/>
          <w:szCs w:val="26"/>
        </w:rPr>
        <w:t xml:space="preserve">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2) копии документов, удостоверяющих личность заявителя (для граждан);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3) </w:t>
      </w:r>
      <w:r>
        <w:rPr>
          <w:sz w:val="26"/>
          <w:szCs w:val="26"/>
        </w:rPr>
        <w:t xml:space="preserve">надлежащим образом,</w:t>
      </w:r>
      <w:r>
        <w:rPr>
          <w:sz w:val="26"/>
          <w:szCs w:val="26"/>
        </w:rPr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tabs>
          <w:tab w:val="left" w:pos="540" w:leader="none"/>
        </w:tabs>
        <w:rPr>
          <w:bCs/>
          <w:sz w:val="26"/>
          <w:szCs w:val="26"/>
        </w:rPr>
        <w:outlineLvl w:val="0"/>
      </w:pPr>
      <w:r>
        <w:rPr>
          <w:sz w:val="26"/>
          <w:szCs w:val="26"/>
        </w:rPr>
        <w:t xml:space="preserve">4) документы, </w:t>
      </w:r>
      <w:r>
        <w:rPr>
          <w:sz w:val="26"/>
          <w:szCs w:val="26"/>
        </w:rPr>
        <w:t xml:space="preserve">подтверждающие внесение задатка</w:t>
      </w:r>
      <w:r>
        <w:rPr>
          <w:bCs/>
          <w:sz w:val="26"/>
          <w:szCs w:val="26"/>
        </w:rPr>
        <w:t xml:space="preserve"> (При подаче заявителем заявки в соответствии с Регламентом и Инструкциями электронной площадки, информация о внесении заявителем задатка формируется Оператором электронной площадки и направляется Организатору аукциона).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Представление документов, подтверждающих внесение задатка, признается заключением соглашения о задатке.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72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Один </w:t>
      </w:r>
      <w:r>
        <w:rPr>
          <w:rFonts w:ascii="Times New Roman" w:hAnsi="Times New Roman" w:cs="Times New Roman"/>
          <w:sz w:val="26"/>
          <w:szCs w:val="26"/>
        </w:rPr>
        <w:t xml:space="preserve">заявитель</w:t>
      </w:r>
      <w:r>
        <w:rPr>
          <w:rFonts w:ascii="Times New Roman" w:hAnsi="Times New Roman" w:cs="Times New Roman"/>
          <w:sz w:val="26"/>
          <w:szCs w:val="26"/>
        </w:rPr>
        <w:t xml:space="preserve"> имеет право подать только одну заявку на участие в </w:t>
      </w:r>
      <w:r>
        <w:rPr>
          <w:rFonts w:ascii="Times New Roman" w:hAnsi="Times New Roman" w:cs="Times New Roman"/>
          <w:sz w:val="26"/>
          <w:szCs w:val="26"/>
        </w:rPr>
        <w:t xml:space="preserve">электронном аукционе</w:t>
      </w:r>
      <w:r>
        <w:rPr>
          <w:rFonts w:ascii="Times New Roman" w:hAnsi="Times New Roman" w:cs="Times New Roman"/>
          <w:sz w:val="26"/>
          <w:szCs w:val="26"/>
        </w:rPr>
        <w:t xml:space="preserve">.</w:t>
      </w:r>
      <w:r>
        <w:rPr>
          <w:rFonts w:ascii="Times New Roman" w:hAnsi="Times New Roman" w:cs="Times New Roman"/>
          <w:sz w:val="26"/>
          <w:szCs w:val="26"/>
        </w:rPr>
        <w:t xml:space="preserve"> Заявка подается по каждому лоту отдельно.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spacing w:line="200" w:lineRule="atLeast"/>
        <w:rPr>
          <w:bCs/>
          <w:sz w:val="26"/>
          <w:szCs w:val="26"/>
        </w:rPr>
      </w:pPr>
      <w:r>
        <w:rPr>
          <w:sz w:val="26"/>
          <w:szCs w:val="26"/>
        </w:rPr>
        <w:t xml:space="preserve">Заявки могут быть поданы на электронную площадку с даты и времени начала подачи (приема) заявок, </w:t>
      </w:r>
      <w:r>
        <w:rPr>
          <w:color w:val="000000"/>
          <w:sz w:val="26"/>
          <w:szCs w:val="26"/>
        </w:rPr>
        <w:t xml:space="preserve">указанных в п. 2 раздела 2 извещения, </w:t>
      </w:r>
      <w:r>
        <w:rPr>
          <w:sz w:val="26"/>
          <w:szCs w:val="26"/>
        </w:rPr>
        <w:t xml:space="preserve">до времени и даты окончания подачи (приема) заявок, </w:t>
      </w:r>
      <w:r>
        <w:rPr>
          <w:color w:val="000000"/>
          <w:sz w:val="26"/>
          <w:szCs w:val="26"/>
        </w:rPr>
        <w:t xml:space="preserve">указанных в п. 3 раздела 2 извещения.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ind w:firstLine="709"/>
        <w:jc w:val="both"/>
        <w:spacing w:line="200" w:lineRule="atLeast"/>
        <w:rPr>
          <w:bCs/>
          <w:sz w:val="26"/>
          <w:szCs w:val="26"/>
        </w:rPr>
      </w:pPr>
      <w:r>
        <w:rPr>
          <w:sz w:val="26"/>
          <w:szCs w:val="26"/>
        </w:rPr>
        <w:t xml:space="preserve">Заявки с прилагаемыми к ним документами, поданные с нарушением установленного срока, на электронной площадке не регистрируются.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ind w:firstLine="709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Заявитель</w:t>
      </w:r>
      <w:r>
        <w:rPr>
          <w:sz w:val="26"/>
          <w:szCs w:val="26"/>
        </w:rPr>
        <w:t xml:space="preserve"> вправе не позднее даты и времени окончания приема заявок, </w:t>
      </w:r>
      <w:r>
        <w:rPr>
          <w:color w:val="000000"/>
          <w:sz w:val="26"/>
          <w:szCs w:val="26"/>
        </w:rPr>
        <w:t xml:space="preserve">указанных в п. 3 раздела 2 извещения,</w:t>
      </w:r>
      <w:r>
        <w:rPr>
          <w:sz w:val="26"/>
          <w:szCs w:val="26"/>
        </w:rPr>
        <w:t xml:space="preserve"> отозвать заявку путем направления уведомления об отзыве заявки на электронную площадку.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72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20"/>
        <w:jc w:val="both"/>
        <w:spacing w:line="200" w:lineRule="atLeast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9</w:t>
      </w:r>
      <w:r>
        <w:rPr>
          <w:b/>
          <w:bCs/>
          <w:sz w:val="26"/>
          <w:szCs w:val="26"/>
        </w:rPr>
        <w:t xml:space="preserve">. Порядок внесения и возврата задатка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Для участия в аукционе устанавливаются требования о внесении задатка.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В целях исполнения требований о внесении задатка для участия в аукционе заявитель обеспечивает наличие денежных средств на счёте Оператора электронной площадки в размере, не менее суммы задатка, согласно Извещения.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Перечисление денежных средств на счёт Оператора электронной площадки производится по следующим реквизитам</w:t>
      </w:r>
      <w:r>
        <w:rPr>
          <w:sz w:val="26"/>
          <w:szCs w:val="26"/>
        </w:rPr>
        <w:t xml:space="preserve">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Получатель: </w:t>
      </w:r>
      <w:r>
        <w:rPr>
          <w:sz w:val="26"/>
          <w:szCs w:val="26"/>
        </w:rPr>
        <w:t xml:space="preserve">АО «Сбербанк</w:t>
      </w:r>
      <w:r>
        <w:rPr>
          <w:sz w:val="26"/>
          <w:szCs w:val="26"/>
        </w:rPr>
        <w:t xml:space="preserve">-АСТ»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 xml:space="preserve">Наименование банка: ПАО «Сбербанк России» г. Москва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БИК 044525225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Расчетный счет (Казначейский счет)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40702810300020038047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Корреспондентский счет (ЕКС)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30101810400000000225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ИНН 7707308480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КПП 770401001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spacing w:line="200" w:lineRule="atLeast"/>
        <w:rPr>
          <w:sz w:val="26"/>
          <w:szCs w:val="26"/>
          <w:shd w:val="clear" w:color="auto" w:fill="ffffff"/>
        </w:rPr>
      </w:pPr>
      <w:r>
        <w:rPr>
          <w:rStyle w:val="895"/>
          <w:color w:val="333333"/>
          <w:sz w:val="26"/>
          <w:szCs w:val="26"/>
          <w:shd w:val="clear" w:color="auto" w:fill="ffffff"/>
        </w:rPr>
        <w:t xml:space="preserve">В назначении платежа необходимо обязательно указать:</w:t>
      </w:r>
      <w:r>
        <w:rPr>
          <w:color w:val="333333"/>
          <w:sz w:val="26"/>
          <w:szCs w:val="26"/>
          <w:shd w:val="clear" w:color="auto" w:fill="ffffff"/>
        </w:rPr>
        <w:t xml:space="preserve"> Перечисление денежных средств в качестве задатка (ИНН </w:t>
      </w:r>
      <w:r>
        <w:rPr>
          <w:sz w:val="26"/>
          <w:szCs w:val="26"/>
          <w:shd w:val="clear" w:color="auto" w:fill="ffffff"/>
        </w:rPr>
        <w:t xml:space="preserve">плательщика).</w:t>
      </w:r>
      <w:r>
        <w:rPr>
          <w:sz w:val="26"/>
          <w:szCs w:val="26"/>
          <w:shd w:val="clear" w:color="auto" w:fill="ffffff"/>
        </w:rPr>
      </w:r>
      <w:r>
        <w:rPr>
          <w:sz w:val="26"/>
          <w:szCs w:val="26"/>
          <w:shd w:val="clear" w:color="auto" w:fill="ffffff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b/>
          <w:bCs/>
          <w:sz w:val="26"/>
          <w:szCs w:val="26"/>
          <w:highlight w:val="none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 xml:space="preserve">Заявитель</w:t>
      </w:r>
      <w:r>
        <w:rPr>
          <w:sz w:val="26"/>
          <w:szCs w:val="26"/>
        </w:rPr>
        <w:t xml:space="preserve"> обеспечивает поступление задатка </w:t>
      </w:r>
      <w:r>
        <w:rPr>
          <w:b/>
          <w:sz w:val="26"/>
          <w:szCs w:val="26"/>
        </w:rPr>
        <w:t xml:space="preserve">в срок </w:t>
      </w:r>
      <w:r>
        <w:rPr>
          <w:b/>
          <w:bCs/>
          <w:sz w:val="26"/>
          <w:szCs w:val="26"/>
        </w:rPr>
        <w:t xml:space="preserve">с 27.12</w:t>
      </w:r>
      <w:r>
        <w:rPr>
          <w:rFonts w:eastAsia="Calibri"/>
          <w:b/>
          <w:bCs/>
          <w:sz w:val="26"/>
          <w:szCs w:val="26"/>
        </w:rPr>
        <w:t xml:space="preserve">.</w:t>
      </w:r>
      <w:r>
        <w:rPr>
          <w:b/>
          <w:sz w:val="26"/>
          <w:szCs w:val="26"/>
        </w:rPr>
        <w:t xml:space="preserve">202</w:t>
      </w:r>
      <w:r>
        <w:rPr>
          <w:b/>
          <w:sz w:val="26"/>
          <w:szCs w:val="26"/>
          <w:highlight w:val="none"/>
        </w:rPr>
        <w:t xml:space="preserve">5</w:t>
      </w:r>
      <w:r>
        <w:rPr>
          <w:b/>
          <w:bCs/>
          <w:sz w:val="26"/>
          <w:szCs w:val="26"/>
          <w:highlight w:val="none"/>
        </w:rPr>
        <w:t xml:space="preserve"> с </w:t>
      </w:r>
      <w:r>
        <w:rPr>
          <w:b/>
          <w:bCs/>
          <w:sz w:val="26"/>
          <w:szCs w:val="26"/>
          <w:highlight w:val="none"/>
        </w:rPr>
        <w:t xml:space="preserve">10</w:t>
      </w:r>
      <w:r>
        <w:rPr>
          <w:b/>
          <w:bCs/>
          <w:sz w:val="26"/>
          <w:szCs w:val="26"/>
          <w:highlight w:val="none"/>
        </w:rPr>
        <w:t xml:space="preserve"> час. 00 мин. по 27.01</w:t>
      </w:r>
      <w:r>
        <w:rPr>
          <w:b/>
          <w:bCs/>
          <w:sz w:val="26"/>
          <w:szCs w:val="26"/>
          <w:highlight w:val="none"/>
        </w:rPr>
        <w:t xml:space="preserve">.2026</w:t>
      </w:r>
      <w:r>
        <w:rPr>
          <w:b/>
          <w:bCs/>
          <w:sz w:val="26"/>
          <w:szCs w:val="26"/>
          <w:highlight w:val="none"/>
        </w:rPr>
        <w:t xml:space="preserve"> до </w:t>
      </w:r>
      <w:r>
        <w:rPr>
          <w:b/>
          <w:bCs/>
          <w:sz w:val="26"/>
          <w:szCs w:val="26"/>
          <w:highlight w:val="none"/>
        </w:rPr>
        <w:t xml:space="preserve">10</w:t>
      </w:r>
      <w:r>
        <w:rPr>
          <w:b/>
          <w:bCs/>
          <w:sz w:val="26"/>
          <w:szCs w:val="26"/>
          <w:highlight w:val="none"/>
        </w:rPr>
        <w:t xml:space="preserve"> час. 00 мин. по </w:t>
      </w:r>
      <w:r>
        <w:rPr>
          <w:b/>
          <w:bCs/>
          <w:sz w:val="26"/>
          <w:szCs w:val="26"/>
          <w:highlight w:val="none"/>
        </w:rPr>
        <w:t xml:space="preserve">местному</w:t>
      </w:r>
      <w:r>
        <w:rPr>
          <w:b/>
          <w:bCs/>
          <w:sz w:val="26"/>
          <w:szCs w:val="26"/>
          <w:highlight w:val="none"/>
        </w:rPr>
        <w:t xml:space="preserve"> времени.</w:t>
      </w:r>
      <w:r>
        <w:rPr>
          <w:b/>
          <w:bCs/>
          <w:sz w:val="26"/>
          <w:szCs w:val="26"/>
          <w:highlight w:val="none"/>
        </w:rPr>
      </w:r>
      <w:r>
        <w:rPr>
          <w:b/>
          <w:bCs/>
          <w:sz w:val="26"/>
          <w:szCs w:val="26"/>
          <w:highlight w:val="none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bCs/>
          <w:sz w:val="26"/>
          <w:szCs w:val="26"/>
        </w:rPr>
        <w:tab/>
      </w:r>
      <w:r>
        <w:rPr>
          <w:sz w:val="26"/>
          <w:szCs w:val="26"/>
        </w:rPr>
        <w:t xml:space="preserve">Плательщиком задатка может быть только </w:t>
      </w:r>
      <w:r>
        <w:rPr>
          <w:sz w:val="26"/>
          <w:szCs w:val="26"/>
        </w:rPr>
        <w:t xml:space="preserve">заявитель</w:t>
      </w:r>
      <w:r>
        <w:rPr>
          <w:sz w:val="26"/>
          <w:szCs w:val="26"/>
        </w:rPr>
        <w:t xml:space="preserve">. Не допускается перечисление задатка иными лицами. Перечисленные денежные средства иными лицами, кроме </w:t>
      </w:r>
      <w:r>
        <w:rPr>
          <w:sz w:val="26"/>
          <w:szCs w:val="26"/>
        </w:rPr>
        <w:t xml:space="preserve">заявителя</w:t>
      </w:r>
      <w:r>
        <w:rPr>
          <w:sz w:val="26"/>
          <w:szCs w:val="26"/>
        </w:rPr>
        <w:t xml:space="preserve">, будут считаться ошибочно перечисленными денежными средствами и возвращены на счет плательщика.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37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Порядок и сроки внесения и возврата задатка определяется Регламентом оператора электронной площадки и соглашением о внесении гарантийного обеспечения, размещенными по адресу </w:t>
      </w:r>
      <w:r>
        <w:rPr>
          <w:b/>
          <w:sz w:val="26"/>
          <w:szCs w:val="26"/>
          <w:lang w:val="en-US"/>
        </w:rPr>
        <w:t xml:space="preserve">utp</w:t>
      </w:r>
      <w:r>
        <w:rPr>
          <w:b/>
          <w:sz w:val="26"/>
          <w:szCs w:val="26"/>
        </w:rPr>
        <w:t xml:space="preserve">.</w:t>
      </w:r>
      <w:hyperlink r:id="rId19" w:tooltip="http://sberbank-ast.ru" w:history="1">
        <w:r>
          <w:rPr>
            <w:rStyle w:val="870"/>
            <w:b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70"/>
            <w:b/>
            <w:color w:val="auto"/>
            <w:sz w:val="26"/>
            <w:szCs w:val="26"/>
            <w:u w:val="none"/>
          </w:rPr>
          <w:t xml:space="preserve">-</w:t>
        </w:r>
        <w:r>
          <w:rPr>
            <w:rStyle w:val="870"/>
            <w:b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70"/>
            <w:b/>
            <w:color w:val="auto"/>
            <w:sz w:val="26"/>
            <w:szCs w:val="26"/>
            <w:u w:val="none"/>
          </w:rPr>
          <w:t xml:space="preserve">.</w:t>
        </w:r>
        <w:r>
          <w:rPr>
            <w:rStyle w:val="870"/>
            <w:b/>
            <w:color w:val="auto"/>
            <w:sz w:val="26"/>
            <w:szCs w:val="26"/>
            <w:u w:val="none"/>
          </w:rPr>
          <w:t xml:space="preserve">ru</w:t>
        </w:r>
      </w:hyperlink>
      <w:r>
        <w:rPr>
          <w:sz w:val="26"/>
          <w:szCs w:val="26"/>
        </w:rPr>
        <w:t xml:space="preserve"> (далее – Регламент), а также ЗК РФ.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3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Операции</w:t>
      </w:r>
      <w:r>
        <w:rPr>
          <w:sz w:val="26"/>
          <w:szCs w:val="26"/>
        </w:rPr>
        <w:t xml:space="preserve"> по перечислению дене</w:t>
      </w:r>
      <w:r>
        <w:rPr>
          <w:sz w:val="26"/>
          <w:szCs w:val="26"/>
        </w:rPr>
        <w:t xml:space="preserve">жных средств на счёт Оператора </w:t>
      </w:r>
      <w:r>
        <w:rPr>
          <w:sz w:val="26"/>
          <w:szCs w:val="26"/>
        </w:rPr>
        <w:t xml:space="preserve">электронной площадки учитываются на счёте заявителя, открытом Оператором электронной площадки. Денежные средства в размере, равному задатку </w:t>
      </w:r>
      <w:r>
        <w:rPr>
          <w:sz w:val="26"/>
          <w:szCs w:val="26"/>
        </w:rPr>
        <w:t xml:space="preserve">согласно Извещения, блокируются Оператором э</w:t>
      </w:r>
      <w:r>
        <w:rPr>
          <w:sz w:val="26"/>
          <w:szCs w:val="26"/>
        </w:rPr>
        <w:t xml:space="preserve">лектронной площадки на счете заявителя. Основанием для блокирования денежных средств является заявка, направленная Оператору электронной площадки. Заблокированные на счете заявителя денежные средства являются задатком. Подача заявки и блокирование задатка </w:t>
      </w:r>
      <w:r>
        <w:rPr>
          <w:sz w:val="26"/>
          <w:szCs w:val="26"/>
        </w:rPr>
        <w:t xml:space="preserve">является</w:t>
      </w:r>
      <w:r>
        <w:rPr>
          <w:sz w:val="26"/>
          <w:szCs w:val="26"/>
        </w:rPr>
        <w:t xml:space="preserve"> заключением Соглашения о задатке.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3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Задаток, внесенный лицом, признанным победителем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аукциона, задаток, внесенный иным лицом (подавшим единственную заявку на участие в </w:t>
      </w:r>
      <w:r>
        <w:rPr>
          <w:sz w:val="26"/>
          <w:szCs w:val="26"/>
        </w:rPr>
        <w:t xml:space="preserve">электронном </w:t>
      </w:r>
      <w:r>
        <w:rPr>
          <w:sz w:val="26"/>
          <w:szCs w:val="26"/>
        </w:rPr>
        <w:t xml:space="preserve">аукционе, с заявителем, признанным единственным участником </w:t>
      </w:r>
      <w:r>
        <w:rPr>
          <w:sz w:val="26"/>
          <w:szCs w:val="26"/>
        </w:rPr>
        <w:t xml:space="preserve">электронном </w:t>
      </w:r>
      <w:r>
        <w:rPr>
          <w:sz w:val="26"/>
          <w:szCs w:val="26"/>
        </w:rPr>
        <w:t xml:space="preserve">аукциона, либо с единственным принявшим участие в аукционе его участником), с которым заключается договор в соответствии с положениями ЗК РФ, засчитываются в </w:t>
      </w:r>
      <w:r>
        <w:rPr>
          <w:sz w:val="26"/>
          <w:szCs w:val="26"/>
        </w:rPr>
        <w:t xml:space="preserve">оплату приобретаемого земельного участка или в счет арендной платы за него</w:t>
      </w:r>
      <w:r>
        <w:rPr>
          <w:sz w:val="26"/>
          <w:szCs w:val="26"/>
        </w:rPr>
        <w:t xml:space="preserve">.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37"/>
        <w:jc w:val="both"/>
        <w:widowControl w:val="off"/>
        <w:tabs>
          <w:tab w:val="left" w:pos="1346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Прекращение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блокирования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денежных</w:t>
      </w:r>
      <w:r>
        <w:rPr>
          <w:spacing w:val="39"/>
          <w:sz w:val="26"/>
          <w:szCs w:val="26"/>
        </w:rPr>
        <w:t xml:space="preserve"> </w:t>
      </w:r>
      <w:r>
        <w:rPr>
          <w:sz w:val="26"/>
          <w:szCs w:val="26"/>
        </w:rPr>
        <w:t xml:space="preserve">средств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на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счете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участника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</w:t>
      </w:r>
      <w:r>
        <w:rPr>
          <w:spacing w:val="39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37"/>
          <w:sz w:val="26"/>
          <w:szCs w:val="26"/>
        </w:rPr>
        <w:t xml:space="preserve"> </w:t>
      </w:r>
      <w:r>
        <w:rPr>
          <w:sz w:val="26"/>
          <w:szCs w:val="26"/>
        </w:rPr>
        <w:t xml:space="preserve">соответствии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с</w:t>
      </w:r>
      <w:r>
        <w:rPr>
          <w:spacing w:val="39"/>
          <w:sz w:val="26"/>
          <w:szCs w:val="26"/>
        </w:rPr>
        <w:t xml:space="preserve"> </w:t>
      </w:r>
      <w:r>
        <w:rPr>
          <w:sz w:val="26"/>
          <w:szCs w:val="26"/>
        </w:rPr>
        <w:t xml:space="preserve">Регламентом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 xml:space="preserve">производится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оператором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 xml:space="preserve">электронной площадки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следующем порядке: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88"/>
        <w:numPr>
          <w:ilvl w:val="0"/>
          <w:numId w:val="13"/>
        </w:numPr>
        <w:contextualSpacing w:val="0"/>
        <w:ind w:left="0" w:firstLine="567"/>
        <w:jc w:val="both"/>
        <w:widowControl w:val="off"/>
        <w:tabs>
          <w:tab w:val="left" w:pos="1240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для</w:t>
      </w:r>
      <w:r>
        <w:rPr>
          <w:sz w:val="26"/>
          <w:szCs w:val="26"/>
        </w:rPr>
        <w:t xml:space="preserve"> заявителя электронного</w:t>
      </w:r>
      <w:r>
        <w:rPr>
          <w:sz w:val="26"/>
          <w:szCs w:val="26"/>
        </w:rPr>
        <w:t xml:space="preserve"> аукциона, отозвавшего заявку до о</w:t>
      </w:r>
      <w:r>
        <w:rPr>
          <w:sz w:val="26"/>
          <w:szCs w:val="26"/>
        </w:rPr>
        <w:t xml:space="preserve">кончания срока приема заявок - </w:t>
      </w:r>
      <w:r>
        <w:rPr>
          <w:sz w:val="26"/>
          <w:szCs w:val="26"/>
        </w:rPr>
        <w:t xml:space="preserve">в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течение   </w:t>
      </w:r>
      <w:r>
        <w:rPr>
          <w:sz w:val="26"/>
          <w:szCs w:val="26"/>
        </w:rPr>
        <w:t xml:space="preserve">3 рабочих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дней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со   дня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поступления   уведомления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об   </w:t>
      </w:r>
      <w:r>
        <w:rPr>
          <w:sz w:val="26"/>
          <w:szCs w:val="26"/>
        </w:rPr>
        <w:t xml:space="preserve">отзыве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заявки</w:t>
      </w:r>
      <w:r>
        <w:rPr>
          <w:spacing w:val="-52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 xml:space="preserve">соответствии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с Регламентом;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widowControl w:val="off"/>
        <w:tabs>
          <w:tab w:val="left" w:pos="1240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>
        <w:rPr>
          <w:sz w:val="26"/>
          <w:szCs w:val="26"/>
        </w:rPr>
        <w:t xml:space="preserve">для </w:t>
      </w:r>
      <w:r>
        <w:rPr>
          <w:sz w:val="26"/>
          <w:szCs w:val="26"/>
        </w:rPr>
        <w:t xml:space="preserve">заявителя</w:t>
      </w:r>
      <w:r>
        <w:rPr>
          <w:sz w:val="26"/>
          <w:szCs w:val="26"/>
        </w:rPr>
        <w:t xml:space="preserve">, не допущенного к участию в аукционе в электронной форме – в течение 3 рабочих</w:t>
      </w:r>
      <w:r>
        <w:rPr>
          <w:spacing w:val="-7"/>
          <w:sz w:val="26"/>
          <w:szCs w:val="26"/>
        </w:rPr>
        <w:t xml:space="preserve"> </w:t>
      </w:r>
      <w:r>
        <w:rPr>
          <w:sz w:val="26"/>
          <w:szCs w:val="26"/>
        </w:rPr>
        <w:t xml:space="preserve">дней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 xml:space="preserve">со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дня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оформления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протокола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рассмотрения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заявок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на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 xml:space="preserve">участие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аукционе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 xml:space="preserve">электронной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форме</w:t>
      </w:r>
      <w:r>
        <w:rPr>
          <w:spacing w:val="-53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 xml:space="preserve">соответствии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с Регламентом;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widowControl w:val="off"/>
        <w:tabs>
          <w:tab w:val="left" w:pos="1240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>
        <w:rPr>
          <w:sz w:val="26"/>
          <w:szCs w:val="26"/>
        </w:rPr>
        <w:t xml:space="preserve">для участников, участвовавших в аукционе в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 xml:space="preserve">электронной</w:t>
      </w:r>
      <w:r>
        <w:rPr>
          <w:spacing w:val="-7"/>
          <w:sz w:val="26"/>
          <w:szCs w:val="26"/>
        </w:rPr>
        <w:t xml:space="preserve"> </w:t>
      </w:r>
      <w:r>
        <w:rPr>
          <w:sz w:val="26"/>
          <w:szCs w:val="26"/>
        </w:rPr>
        <w:t xml:space="preserve">форме,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но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не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победивших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 xml:space="preserve">нем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–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течение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3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рабочих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дней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со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дня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публикации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Протокола</w:t>
      </w:r>
      <w:r>
        <w:rPr>
          <w:spacing w:val="-52"/>
          <w:sz w:val="26"/>
          <w:szCs w:val="26"/>
        </w:rPr>
        <w:t xml:space="preserve">    </w:t>
      </w:r>
      <w:r>
        <w:rPr>
          <w:sz w:val="26"/>
          <w:szCs w:val="26"/>
        </w:rPr>
        <w:t xml:space="preserve">о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результатах аукциона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электронной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 xml:space="preserve">форме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 xml:space="preserve">соответствии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с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Регламентом.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3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 исключением участника аукциона, который сделал предпоследнее предложение о цене предмета аукциона. Задаток, внесенный таким участником, возвращается ему в течение трех дней со дня подписания договора </w:t>
      </w:r>
      <w:r>
        <w:rPr>
          <w:sz w:val="26"/>
          <w:szCs w:val="26"/>
        </w:rPr>
        <w:t xml:space="preserve">договора</w:t>
      </w:r>
      <w:r>
        <w:rPr>
          <w:sz w:val="26"/>
          <w:szCs w:val="26"/>
        </w:rPr>
        <w:t xml:space="preserve"> аренды земельного участка победителем аукциона.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720"/>
        <w:jc w:val="both"/>
        <w:spacing w:line="200" w:lineRule="atLeast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10</w:t>
      </w:r>
      <w:r>
        <w:rPr>
          <w:b/>
          <w:bCs/>
          <w:sz w:val="26"/>
          <w:szCs w:val="26"/>
        </w:rPr>
        <w:t xml:space="preserve">. Условия допуска к участию в </w:t>
      </w:r>
      <w:r>
        <w:rPr>
          <w:b/>
          <w:bCs/>
          <w:sz w:val="26"/>
          <w:szCs w:val="26"/>
        </w:rPr>
        <w:t xml:space="preserve">электронном </w:t>
      </w:r>
      <w:r>
        <w:rPr>
          <w:b/>
          <w:bCs/>
          <w:sz w:val="26"/>
          <w:szCs w:val="26"/>
        </w:rPr>
        <w:t xml:space="preserve">аукционе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61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Заявитель</w:t>
      </w:r>
      <w:r>
        <w:rPr>
          <w:sz w:val="26"/>
          <w:szCs w:val="26"/>
        </w:rPr>
        <w:t xml:space="preserve"> не допускается к участию в аукционе в случае: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 1) непредставление необходимых для участия в</w:t>
      </w:r>
      <w:r>
        <w:rPr>
          <w:sz w:val="26"/>
          <w:szCs w:val="26"/>
        </w:rPr>
        <w:t xml:space="preserve"> электронном </w:t>
      </w:r>
      <w:r>
        <w:rPr>
          <w:sz w:val="26"/>
          <w:szCs w:val="26"/>
        </w:rPr>
        <w:t xml:space="preserve">аукционе документов или представление недостоверных сведений;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2) </w:t>
      </w:r>
      <w:r>
        <w:rPr>
          <w:sz w:val="26"/>
          <w:szCs w:val="26"/>
        </w:rPr>
        <w:t xml:space="preserve">непоступление</w:t>
      </w:r>
      <w:r>
        <w:rPr>
          <w:sz w:val="26"/>
          <w:szCs w:val="26"/>
        </w:rPr>
        <w:t xml:space="preserve"> задатка на дату рассмотрения заявок на участие в </w:t>
      </w:r>
      <w:r>
        <w:rPr>
          <w:sz w:val="26"/>
          <w:szCs w:val="26"/>
        </w:rPr>
        <w:t xml:space="preserve">электронном </w:t>
      </w:r>
      <w:r>
        <w:rPr>
          <w:sz w:val="26"/>
          <w:szCs w:val="26"/>
        </w:rPr>
        <w:t xml:space="preserve">аукционе;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3) подача заявки на участие в </w:t>
      </w:r>
      <w:r>
        <w:rPr>
          <w:sz w:val="26"/>
          <w:szCs w:val="26"/>
        </w:rPr>
        <w:t xml:space="preserve">электронном </w:t>
      </w:r>
      <w:r>
        <w:rPr>
          <w:sz w:val="26"/>
          <w:szCs w:val="26"/>
        </w:rPr>
        <w:t xml:space="preserve">аукционе лицом, которое в соответствии с </w:t>
      </w:r>
      <w:r>
        <w:rPr>
          <w:sz w:val="26"/>
          <w:szCs w:val="26"/>
        </w:rPr>
        <w:t xml:space="preserve">Земельным </w:t>
      </w:r>
      <w:r>
        <w:rPr>
          <w:sz w:val="26"/>
          <w:szCs w:val="26"/>
        </w:rPr>
        <w:t xml:space="preserve">Кодексом</w:t>
      </w:r>
      <w:r>
        <w:rPr>
          <w:sz w:val="26"/>
          <w:szCs w:val="26"/>
        </w:rPr>
        <w:t xml:space="preserve"> РФ</w:t>
      </w:r>
      <w:r>
        <w:rPr>
          <w:sz w:val="26"/>
          <w:szCs w:val="26"/>
        </w:rPr>
        <w:t xml:space="preserve"> и другими федеральными законами не имеет права быть участником конкретного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аукциона, покупателем земельного участка или приобрести земельный участок в аренду;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</w:t>
      </w:r>
      <w:r>
        <w:rPr>
          <w:sz w:val="26"/>
          <w:szCs w:val="26"/>
        </w:rPr>
        <w:t xml:space="preserve">в предусмотренном статьей 39.12 Земельного кодекса Российской Федерации, </w:t>
      </w:r>
      <w:r>
        <w:rPr>
          <w:sz w:val="26"/>
          <w:szCs w:val="26"/>
        </w:rPr>
        <w:t xml:space="preserve">реестре недобросовестных участников аукциона.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708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1</w:t>
      </w:r>
      <w:r>
        <w:rPr>
          <w:b/>
          <w:bCs/>
          <w:sz w:val="26"/>
          <w:szCs w:val="26"/>
        </w:rPr>
        <w:t xml:space="preserve">1</w:t>
      </w:r>
      <w:r>
        <w:rPr>
          <w:b/>
          <w:bCs/>
          <w:sz w:val="26"/>
          <w:szCs w:val="26"/>
        </w:rPr>
        <w:t xml:space="preserve">. Порядок определения участников </w:t>
      </w:r>
      <w:r>
        <w:rPr>
          <w:b/>
          <w:sz w:val="26"/>
          <w:szCs w:val="26"/>
        </w:rPr>
        <w:t xml:space="preserve">электронного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аукциона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pStyle w:val="861"/>
        <w:ind w:firstLine="709"/>
        <w:jc w:val="both"/>
        <w:tabs>
          <w:tab w:val="left" w:pos="4032" w:leader="none"/>
        </w:tabs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Решение о признании претендентов участниками аукциона принимается в соответствии </w:t>
      </w:r>
      <w:r>
        <w:rPr>
          <w:sz w:val="26"/>
          <w:szCs w:val="26"/>
        </w:rPr>
        <w:t xml:space="preserve">с </w:t>
      </w:r>
      <w:r>
        <w:rPr>
          <w:sz w:val="26"/>
          <w:szCs w:val="26"/>
        </w:rPr>
        <w:t xml:space="preserve">протоколом </w:t>
      </w:r>
      <w:r>
        <w:rPr>
          <w:sz w:val="26"/>
          <w:szCs w:val="26"/>
        </w:rPr>
        <w:t xml:space="preserve">рассмотрения</w:t>
      </w:r>
      <w:r>
        <w:rPr>
          <w:sz w:val="26"/>
          <w:szCs w:val="26"/>
        </w:rPr>
        <w:t xml:space="preserve"> заявок  </w:t>
      </w:r>
      <w:r>
        <w:rPr>
          <w:sz w:val="26"/>
          <w:szCs w:val="26"/>
        </w:rPr>
        <w:t xml:space="preserve">на участие в электронном аукционе </w:t>
      </w:r>
      <w:r>
        <w:rPr>
          <w:color w:val="000000"/>
          <w:sz w:val="26"/>
          <w:szCs w:val="26"/>
        </w:rPr>
        <w:t xml:space="preserve">на сайте </w:t>
      </w:r>
      <w:r>
        <w:rPr>
          <w:sz w:val="26"/>
          <w:szCs w:val="26"/>
          <w:lang w:val="en-US"/>
        </w:rPr>
        <w:t xml:space="preserve">utp</w:t>
      </w:r>
      <w:r>
        <w:rPr>
          <w:sz w:val="26"/>
          <w:szCs w:val="26"/>
        </w:rPr>
        <w:t xml:space="preserve">.</w:t>
      </w:r>
      <w:hyperlink r:id="rId20" w:tooltip="http://sberbank-ast.ru" w:history="1">
        <w:r>
          <w:rPr>
            <w:rStyle w:val="870"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70"/>
            <w:color w:val="auto"/>
            <w:sz w:val="26"/>
            <w:szCs w:val="26"/>
            <w:u w:val="none"/>
          </w:rPr>
          <w:t xml:space="preserve">-</w:t>
        </w:r>
        <w:r>
          <w:rPr>
            <w:rStyle w:val="870"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70"/>
            <w:color w:val="auto"/>
            <w:sz w:val="26"/>
            <w:szCs w:val="26"/>
            <w:u w:val="none"/>
          </w:rPr>
          <w:t xml:space="preserve">.</w:t>
        </w:r>
        <w:r>
          <w:rPr>
            <w:rStyle w:val="870"/>
            <w:color w:val="auto"/>
            <w:sz w:val="26"/>
            <w:szCs w:val="26"/>
            <w:u w:val="none"/>
          </w:rPr>
          <w:t xml:space="preserve">ru</w:t>
        </w:r>
      </w:hyperlink>
      <w:r>
        <w:rPr>
          <w:color w:val="000000"/>
          <w:sz w:val="26"/>
          <w:szCs w:val="26"/>
        </w:rPr>
        <w:t xml:space="preserve">.</w:t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872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Протокол рассмотрения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</w:t>
      </w:r>
      <w:r>
        <w:rPr>
          <w:rFonts w:ascii="Times New Roman" w:hAnsi="Times New Roman" w:cs="Times New Roman"/>
          <w:sz w:val="26"/>
          <w:szCs w:val="26"/>
        </w:rPr>
        <w:t xml:space="preserve">ь от имени организатора аукцион</w:t>
      </w:r>
      <w:r>
        <w:rPr>
          <w:rFonts w:ascii="Times New Roman" w:hAnsi="Times New Roman" w:cs="Times New Roman"/>
          <w:sz w:val="26"/>
          <w:szCs w:val="26"/>
        </w:rPr>
        <w:t xml:space="preserve">а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 xml:space="preserve">Сведения о количестве участников аукциона без указания иных све</w:t>
      </w:r>
      <w:r>
        <w:rPr>
          <w:rFonts w:ascii="Times New Roman" w:hAnsi="Times New Roman" w:cs="Times New Roman"/>
          <w:sz w:val="26"/>
          <w:szCs w:val="26"/>
        </w:rPr>
        <w:t xml:space="preserve">дений о таких участниках и сведения о заявителях, не допущенных к участию в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заявок. </w:t>
      </w:r>
      <w:r>
        <w:rPr>
          <w:rFonts w:ascii="Times New Roman" w:hAnsi="Times New Roman" w:cs="Times New Roman"/>
          <w:sz w:val="26"/>
          <w:szCs w:val="26"/>
        </w:rPr>
        <w:t xml:space="preserve">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61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Заявителям, признанным участниками электронного</w:t>
      </w:r>
      <w:r>
        <w:rPr>
          <w:sz w:val="26"/>
          <w:szCs w:val="26"/>
        </w:rPr>
        <w:t xml:space="preserve">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</w:t>
      </w:r>
      <w:r>
        <w:rPr>
          <w:sz w:val="26"/>
          <w:szCs w:val="26"/>
        </w:rPr>
        <w:t xml:space="preserve"> рассмотрения заявок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61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spacing w:line="200" w:lineRule="atLeast"/>
        <w:rPr>
          <w:b/>
          <w:bCs/>
          <w:sz w:val="26"/>
          <w:szCs w:val="26"/>
        </w:rPr>
      </w:pPr>
      <w:r>
        <w:rPr>
          <w:b/>
          <w:sz w:val="26"/>
          <w:szCs w:val="26"/>
        </w:rPr>
        <w:t xml:space="preserve">1</w:t>
      </w:r>
      <w:r>
        <w:rPr>
          <w:b/>
          <w:sz w:val="26"/>
          <w:szCs w:val="26"/>
        </w:rPr>
        <w:t xml:space="preserve">2</w:t>
      </w:r>
      <w:r>
        <w:rPr>
          <w:b/>
          <w:sz w:val="26"/>
          <w:szCs w:val="26"/>
        </w:rPr>
        <w:t xml:space="preserve">.</w:t>
      </w:r>
      <w:r>
        <w:rPr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Порядок проведения </w:t>
      </w:r>
      <w:r>
        <w:rPr>
          <w:b/>
          <w:sz w:val="26"/>
          <w:szCs w:val="26"/>
        </w:rPr>
        <w:t xml:space="preserve">электронного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аукциона: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708"/>
        <w:jc w:val="both"/>
        <w:rPr>
          <w:rFonts w:cs="Calibri"/>
          <w:sz w:val="26"/>
          <w:szCs w:val="26"/>
        </w:rPr>
      </w:pPr>
      <w:r>
        <w:rPr>
          <w:sz w:val="26"/>
          <w:szCs w:val="26"/>
        </w:rPr>
        <w:t xml:space="preserve">Электронный</w:t>
      </w:r>
      <w:r>
        <w:rPr>
          <w:rFonts w:cs="Calibri"/>
          <w:sz w:val="26"/>
          <w:szCs w:val="26"/>
        </w:rPr>
        <w:t xml:space="preserve"> а</w:t>
      </w:r>
      <w:r>
        <w:rPr>
          <w:rFonts w:cs="Calibri"/>
          <w:sz w:val="26"/>
          <w:szCs w:val="26"/>
        </w:rPr>
        <w:t xml:space="preserve">укцион проводится на электронной площадке в день и время, у</w:t>
      </w:r>
      <w:r>
        <w:rPr>
          <w:rFonts w:cs="Calibri"/>
          <w:sz w:val="26"/>
          <w:szCs w:val="26"/>
        </w:rPr>
        <w:t xml:space="preserve">казанные</w:t>
      </w:r>
      <w:r>
        <w:rPr>
          <w:rFonts w:cs="Calibri"/>
          <w:sz w:val="26"/>
          <w:szCs w:val="26"/>
        </w:rPr>
        <w:t xml:space="preserve"> в извещении.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pStyle w:val="861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Электронный а</w:t>
      </w:r>
      <w:r>
        <w:rPr>
          <w:sz w:val="26"/>
          <w:szCs w:val="26"/>
        </w:rPr>
        <w:t xml:space="preserve">укцион проводится при наличии не менее двух участников.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Начальной ценой</w:t>
      </w:r>
      <w:r>
        <w:rPr>
          <w:sz w:val="26"/>
          <w:szCs w:val="26"/>
        </w:rPr>
        <w:t xml:space="preserve"> предмета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 </w:t>
      </w:r>
      <w:r>
        <w:rPr>
          <w:bCs/>
          <w:sz w:val="26"/>
          <w:szCs w:val="26"/>
        </w:rPr>
        <w:t xml:space="preserve">земельного участка является по выбору уполномоченного органа рыночная стоимость такого земельного участка, определенная в соответствии с Федеральным </w:t>
      </w:r>
      <w:hyperlink r:id="rId21" w:tooltip="consultantplus://offline/ref=ACBC04675D45A7319E4896355D993A4826746042F3CB2CBB1E8429029F34B456AD46430754CDA9B6A2FD79FD81QEfFJ" w:history="1">
        <w:r>
          <w:rPr>
            <w:bCs/>
            <w:sz w:val="26"/>
            <w:szCs w:val="26"/>
          </w:rPr>
          <w:t xml:space="preserve">законом</w:t>
        </w:r>
      </w:hyperlink>
      <w:r>
        <w:rPr>
          <w:bCs/>
          <w:sz w:val="26"/>
          <w:szCs w:val="26"/>
        </w:rPr>
        <w:t xml:space="preserve"> от 29 июля 1998 года N 135-ФЗ "Об оценочной деятельности в Российской Федерации" (далее - Фе</w:t>
      </w:r>
      <w:r>
        <w:rPr>
          <w:bCs/>
          <w:sz w:val="26"/>
          <w:szCs w:val="26"/>
        </w:rPr>
        <w:t xml:space="preserve">деральный закон "Об оценочной деятельности в Российской Федерации"), или кадастровая стоимость такого земельного участка, если результаты государственной кадастровой оценки утверждены не ранее чем за пять лет до даты принятия решения о проведении аукциона.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pStyle w:val="861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В ходе проведения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 участники аукциона подают предложения о цене предмета аукциона в соответствии со следующими требованиями: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1) предложение о цене предмета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 увеличивает текущее максимальное предложение о цене предмета аукциона на величину "шага аукциона";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2) участник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61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Электронный аукцион проводится на электронной площадке ее оператором, функционирующих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rPr>
          <w:rFonts w:cs="Calibri"/>
          <w:sz w:val="26"/>
          <w:szCs w:val="26"/>
        </w:rPr>
      </w:pPr>
      <w:r>
        <w:rPr>
          <w:rFonts w:cs="Calibri"/>
          <w:sz w:val="26"/>
          <w:szCs w:val="26"/>
        </w:rPr>
        <w:t xml:space="preserve">Предложение о цене предмета </w:t>
      </w:r>
      <w:r>
        <w:rPr>
          <w:sz w:val="26"/>
          <w:szCs w:val="26"/>
        </w:rPr>
        <w:t xml:space="preserve">электронного</w:t>
      </w:r>
      <w:r>
        <w:rPr>
          <w:rFonts w:cs="Calibri"/>
          <w:sz w:val="26"/>
          <w:szCs w:val="26"/>
        </w:rPr>
        <w:t xml:space="preserve"> </w:t>
      </w:r>
      <w:r>
        <w:rPr>
          <w:rFonts w:cs="Calibri"/>
          <w:sz w:val="26"/>
          <w:szCs w:val="26"/>
        </w:rPr>
        <w:t xml:space="preserve">аукциона признается подписанное ЭП участника.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pStyle w:val="861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Время ожидания предложения участника электронного а</w:t>
      </w:r>
      <w:r>
        <w:rPr>
          <w:sz w:val="26"/>
          <w:szCs w:val="26"/>
        </w:rPr>
        <w:t xml:space="preserve">укциона о цене предмета аукциона составляет десять минут. При поступлении предложения участника электронного аукциона о повышении цены предмета аукциона время, оставшееся до истечения указанного срока, обновляется до десяти минут. Если в течение указанного</w:t>
      </w:r>
      <w:r>
        <w:rPr>
          <w:sz w:val="26"/>
          <w:szCs w:val="26"/>
        </w:rPr>
        <w:t xml:space="preserve"> времени ни одного предложения о более высокой цене предмета аукциона не поступило, электронный аукцион завершается.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61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spacing w:line="200" w:lineRule="atLeast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1</w:t>
      </w:r>
      <w:r>
        <w:rPr>
          <w:b/>
          <w:sz w:val="26"/>
          <w:szCs w:val="26"/>
        </w:rPr>
        <w:t xml:space="preserve">3</w:t>
      </w:r>
      <w:r>
        <w:rPr>
          <w:b/>
          <w:sz w:val="26"/>
          <w:szCs w:val="26"/>
        </w:rPr>
        <w:t xml:space="preserve">. </w:t>
      </w:r>
      <w:r>
        <w:rPr>
          <w:b/>
          <w:bCs/>
          <w:sz w:val="26"/>
          <w:szCs w:val="26"/>
        </w:rPr>
        <w:t xml:space="preserve">Подведение итогов процедуры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pStyle w:val="861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Выигравшим торги на </w:t>
      </w:r>
      <w:r>
        <w:rPr>
          <w:sz w:val="26"/>
          <w:szCs w:val="26"/>
        </w:rPr>
        <w:t xml:space="preserve">электронном </w:t>
      </w:r>
      <w:r>
        <w:rPr>
          <w:sz w:val="26"/>
          <w:szCs w:val="26"/>
        </w:rPr>
        <w:t xml:space="preserve">аукционе признается лицо, предложившее наиболее высокую цену.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61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Протокол проведения электронного аукциона подписывается усиленной квалифицированной электронной подписью оператором электр</w:t>
      </w:r>
      <w:r>
        <w:rPr>
          <w:sz w:val="26"/>
          <w:szCs w:val="26"/>
        </w:rPr>
        <w:t xml:space="preserve">онной площадки и размещается им на электронной площадке в течение одного часа после окончания электронного аукциона. На основании данного протокола организатор электронного аукциона в день проведения электронного аукциона обеспечивает подготовку протокола </w:t>
      </w:r>
      <w:r>
        <w:rPr>
          <w:sz w:val="26"/>
          <w:szCs w:val="26"/>
        </w:rPr>
        <w:t xml:space="preserve">о результатах электронного аукциона, подписание данного протокола усиленной квалифицированной электронной подписью лицом, уполномоченным дей</w:t>
      </w:r>
      <w:r>
        <w:rPr>
          <w:sz w:val="26"/>
          <w:szCs w:val="26"/>
        </w:rPr>
        <w:t xml:space="preserve">ствовать от имени организатора аукциона, и его размещение в течение одного рабочего дня 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</w:t>
      </w:r>
      <w:r>
        <w:rPr>
          <w:sz w:val="26"/>
          <w:szCs w:val="26"/>
        </w:rPr>
        <w:t xml:space="preserve">режиме направляется оператором электронной площадки для размещения на официальном сайте.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Информация о результатах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 публикуется на официальных сайтах в сети «Интернет»</w:t>
      </w:r>
      <w:r>
        <w:rPr>
          <w:b/>
          <w:sz w:val="26"/>
          <w:szCs w:val="26"/>
        </w:rPr>
        <w:t xml:space="preserve">  </w:t>
      </w:r>
      <w:r>
        <w:rPr>
          <w:bCs/>
          <w:sz w:val="26"/>
          <w:szCs w:val="26"/>
        </w:rPr>
        <w:t xml:space="preserve">www.torgi.gov. </w:t>
      </w:r>
      <w:r>
        <w:rPr>
          <w:bCs/>
          <w:sz w:val="26"/>
          <w:szCs w:val="26"/>
          <w:lang w:val="en-US"/>
        </w:rPr>
        <w:t xml:space="preserve">r</w:t>
      </w:r>
      <w:r>
        <w:rPr>
          <w:bCs/>
          <w:sz w:val="26"/>
          <w:szCs w:val="26"/>
        </w:rPr>
        <w:t xml:space="preserve">u (ГИС Торги),</w:t>
      </w:r>
      <w:r>
        <w:rPr>
          <w:sz w:val="26"/>
          <w:szCs w:val="26"/>
        </w:rPr>
        <w:t xml:space="preserve"> </w:t>
      </w:r>
      <w:r>
        <w:rPr>
          <w:sz w:val="26"/>
          <w:szCs w:val="26"/>
          <w:lang w:val="en-US"/>
        </w:rPr>
        <w:t xml:space="preserve">utp</w:t>
      </w:r>
      <w:r>
        <w:rPr>
          <w:sz w:val="26"/>
          <w:szCs w:val="26"/>
        </w:rPr>
        <w:t xml:space="preserve">.</w:t>
      </w:r>
      <w:hyperlink r:id="rId22" w:tooltip="http://sberbank-ast.ru" w:history="1">
        <w:r>
          <w:rPr>
            <w:rStyle w:val="870"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70"/>
            <w:color w:val="auto"/>
            <w:sz w:val="26"/>
            <w:szCs w:val="26"/>
            <w:u w:val="none"/>
          </w:rPr>
          <w:t xml:space="preserve">-</w:t>
        </w:r>
        <w:r>
          <w:rPr>
            <w:rStyle w:val="870"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70"/>
            <w:color w:val="auto"/>
            <w:sz w:val="26"/>
            <w:szCs w:val="26"/>
            <w:u w:val="none"/>
          </w:rPr>
          <w:t xml:space="preserve">.</w:t>
        </w:r>
        <w:r>
          <w:rPr>
            <w:rStyle w:val="870"/>
            <w:color w:val="auto"/>
            <w:sz w:val="26"/>
            <w:szCs w:val="26"/>
            <w:u w:val="none"/>
            <w:lang w:val="en-US"/>
          </w:rPr>
          <w:t xml:space="preserve">ru</w:t>
        </w:r>
      </w:hyperlink>
      <w:r>
        <w:rPr>
          <w:rStyle w:val="870"/>
          <w:color w:val="auto"/>
          <w:sz w:val="26"/>
          <w:szCs w:val="26"/>
          <w:u w:val="none"/>
        </w:rPr>
        <w:t xml:space="preserve"> (</w:t>
      </w:r>
      <w:r>
        <w:rPr>
          <w:bCs/>
          <w:sz w:val="26"/>
          <w:szCs w:val="26"/>
        </w:rPr>
        <w:t xml:space="preserve">АО «Сбербанк-АСТ»)</w:t>
      </w:r>
      <w:r>
        <w:rPr>
          <w:rStyle w:val="870"/>
          <w:color w:val="auto"/>
          <w:sz w:val="26"/>
          <w:szCs w:val="26"/>
          <w:u w:val="none"/>
        </w:rPr>
        <w:t xml:space="preserve">,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на </w:t>
      </w:r>
      <w:r>
        <w:rPr>
          <w:bCs/>
          <w:sz w:val="26"/>
          <w:szCs w:val="26"/>
        </w:rPr>
        <w:t xml:space="preserve">официальном сайте </w:t>
      </w:r>
      <w:r>
        <w:rPr>
          <w:sz w:val="26"/>
          <w:szCs w:val="26"/>
        </w:rPr>
        <w:t xml:space="preserve">уполномоченного органа</w:t>
      </w:r>
      <w:r>
        <w:rPr>
          <w:bCs/>
          <w:sz w:val="26"/>
          <w:szCs w:val="26"/>
        </w:rPr>
        <w:t xml:space="preserve"> </w:t>
      </w:r>
      <w:hyperlink r:id="rId23" w:tooltip="http://www.mio.irkobl.ru" w:history="1">
        <w:r>
          <w:rPr>
            <w:bCs/>
            <w:sz w:val="26"/>
            <w:szCs w:val="26"/>
          </w:rPr>
          <w:t xml:space="preserve">www.mio.irkobl.</w:t>
        </w:r>
        <w:r>
          <w:rPr>
            <w:bCs/>
            <w:sz w:val="26"/>
            <w:szCs w:val="26"/>
            <w:lang w:val="en-US"/>
          </w:rPr>
          <w:t xml:space="preserve">r</w:t>
        </w:r>
        <w:r>
          <w:rPr>
            <w:bCs/>
            <w:sz w:val="26"/>
            <w:szCs w:val="26"/>
          </w:rPr>
          <w:t xml:space="preserve">u</w:t>
        </w:r>
      </w:hyperlink>
      <w:r>
        <w:rPr>
          <w:bCs/>
          <w:sz w:val="26"/>
          <w:szCs w:val="26"/>
        </w:rPr>
        <w:t xml:space="preserve">  и </w:t>
      </w:r>
      <w:r>
        <w:rPr>
          <w:sz w:val="26"/>
          <w:szCs w:val="26"/>
        </w:rPr>
        <w:t xml:space="preserve"> сайте </w:t>
      </w:r>
      <w:r>
        <w:rPr>
          <w:bCs/>
          <w:sz w:val="26"/>
          <w:szCs w:val="26"/>
        </w:rPr>
        <w:t xml:space="preserve">организатора аукциона www.irkfi. </w:t>
      </w:r>
      <w:r>
        <w:rPr>
          <w:bCs/>
          <w:sz w:val="26"/>
          <w:szCs w:val="26"/>
        </w:rPr>
        <w:t xml:space="preserve">ru</w:t>
      </w:r>
      <w:r>
        <w:rPr>
          <w:sz w:val="26"/>
          <w:szCs w:val="26"/>
          <w:u w:val="single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61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63"/>
        <w:ind w:firstLine="709"/>
        <w:spacing w:after="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1</w:t>
      </w:r>
      <w:r>
        <w:rPr>
          <w:b/>
          <w:bCs/>
          <w:sz w:val="26"/>
          <w:szCs w:val="26"/>
        </w:rPr>
        <w:t xml:space="preserve">4</w:t>
      </w:r>
      <w:r>
        <w:rPr>
          <w:b/>
          <w:bCs/>
          <w:sz w:val="26"/>
          <w:szCs w:val="26"/>
        </w:rPr>
        <w:t xml:space="preserve">.</w:t>
      </w:r>
      <w:r>
        <w:rPr>
          <w:b/>
          <w:bCs/>
          <w:color w:val="ff0000"/>
          <w:sz w:val="26"/>
          <w:szCs w:val="26"/>
        </w:rPr>
        <w:t xml:space="preserve"> </w:t>
      </w:r>
      <w:r>
        <w:rPr>
          <w:b/>
          <w:bCs/>
          <w:sz w:val="26"/>
          <w:szCs w:val="26"/>
        </w:rPr>
        <w:t xml:space="preserve">Заключение договора аренды</w:t>
      </w:r>
      <w:r>
        <w:rPr>
          <w:b/>
          <w:bCs/>
          <w:sz w:val="26"/>
          <w:szCs w:val="26"/>
        </w:rPr>
        <w:t xml:space="preserve"> земельного участка по результатам </w:t>
      </w:r>
      <w:r>
        <w:rPr>
          <w:b/>
          <w:sz w:val="26"/>
          <w:szCs w:val="26"/>
        </w:rPr>
        <w:t xml:space="preserve">электронного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аукциона</w:t>
      </w:r>
      <w:r>
        <w:rPr>
          <w:b/>
          <w:bCs/>
          <w:sz w:val="26"/>
          <w:szCs w:val="26"/>
        </w:rPr>
        <w:t xml:space="preserve">.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pStyle w:val="863"/>
        <w:ind w:firstLine="708"/>
        <w:spacing w:after="0" w:line="200" w:lineRule="atLeast"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  <w:t xml:space="preserve">Заключение договора аренды земельного участка с победителем по </w:t>
      </w:r>
      <w:r>
        <w:rPr>
          <w:bCs/>
          <w:iCs/>
          <w:sz w:val="26"/>
          <w:szCs w:val="26"/>
        </w:rPr>
        <w:t xml:space="preserve">результатам</w:t>
      </w:r>
      <w:r>
        <w:rPr>
          <w:sz w:val="26"/>
          <w:szCs w:val="26"/>
        </w:rPr>
        <w:t xml:space="preserve"> электронного</w:t>
      </w:r>
      <w:r>
        <w:rPr>
          <w:bCs/>
          <w:iCs/>
          <w:sz w:val="26"/>
          <w:szCs w:val="26"/>
        </w:rPr>
        <w:t xml:space="preserve"> </w:t>
      </w:r>
      <w:r>
        <w:rPr>
          <w:bCs/>
          <w:iCs/>
          <w:sz w:val="26"/>
          <w:szCs w:val="26"/>
        </w:rPr>
        <w:t xml:space="preserve">аукциона</w:t>
      </w:r>
      <w:r>
        <w:rPr>
          <w:bCs/>
          <w:iCs/>
          <w:sz w:val="26"/>
          <w:szCs w:val="26"/>
        </w:rPr>
        <w:t xml:space="preserve"> осуществляется в установленном законодательством Российской </w:t>
      </w:r>
      <w:r>
        <w:rPr>
          <w:bCs/>
          <w:iCs/>
          <w:sz w:val="26"/>
          <w:szCs w:val="26"/>
        </w:rPr>
        <w:t xml:space="preserve">Федерации порядке.</w:t>
      </w:r>
      <w:r>
        <w:rPr>
          <w:bCs/>
          <w:iCs/>
          <w:sz w:val="26"/>
          <w:szCs w:val="26"/>
        </w:rPr>
      </w:r>
      <w:r>
        <w:rPr>
          <w:bCs/>
          <w:iCs/>
          <w:sz w:val="26"/>
          <w:szCs w:val="26"/>
        </w:rPr>
      </w:r>
    </w:p>
    <w:p>
      <w:pPr>
        <w:pStyle w:val="861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По результатам проведения электронного аукциона договор </w:t>
      </w:r>
      <w:r>
        <w:rPr>
          <w:sz w:val="26"/>
          <w:szCs w:val="26"/>
        </w:rPr>
        <w:t xml:space="preserve">аренды</w:t>
      </w:r>
      <w:r>
        <w:rPr>
          <w:sz w:val="26"/>
          <w:szCs w:val="26"/>
        </w:rPr>
        <w:t xml:space="preserve"> земельного участка, находящегося в государственной собственности</w:t>
      </w:r>
      <w:r>
        <w:rPr>
          <w:sz w:val="26"/>
          <w:szCs w:val="26"/>
        </w:rPr>
        <w:t xml:space="preserve"> Иркутской области</w:t>
      </w:r>
      <w:r>
        <w:rPr>
          <w:sz w:val="26"/>
          <w:szCs w:val="26"/>
        </w:rPr>
        <w:t xml:space="preserve">, заключается в электронной форме и подписывается усиленной квалифицированной электронной подписью сторон такого договора.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Победитель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 обя</w:t>
      </w:r>
      <w:r>
        <w:rPr>
          <w:sz w:val="26"/>
          <w:szCs w:val="26"/>
        </w:rPr>
        <w:t xml:space="preserve">зан заключить договор аренды </w:t>
      </w:r>
      <w:r>
        <w:rPr>
          <w:sz w:val="26"/>
          <w:szCs w:val="26"/>
        </w:rPr>
        <w:t xml:space="preserve">земельного</w:t>
      </w:r>
      <w:r>
        <w:rPr>
          <w:sz w:val="26"/>
          <w:szCs w:val="26"/>
        </w:rPr>
        <w:t xml:space="preserve"> участка </w:t>
      </w:r>
      <w:r>
        <w:rPr>
          <w:sz w:val="26"/>
          <w:szCs w:val="26"/>
        </w:rPr>
        <w:t xml:space="preserve">с министерством имущественных</w:t>
      </w:r>
      <w:r>
        <w:rPr>
          <w:sz w:val="26"/>
          <w:szCs w:val="26"/>
        </w:rPr>
        <w:t xml:space="preserve"> отношений Иркутской области не ранее </w:t>
      </w:r>
      <w:r>
        <w:rPr>
          <w:sz w:val="26"/>
          <w:szCs w:val="26"/>
        </w:rPr>
        <w:t xml:space="preserve">10 дней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со дня размещения информации о результатах аукциона на официальном сайте торгов РФ протокола о результатах электронного аукциона, </w:t>
      </w:r>
      <w:r>
        <w:rPr>
          <w:sz w:val="26"/>
          <w:szCs w:val="26"/>
        </w:rPr>
        <w:t xml:space="preserve">не позднее </w:t>
      </w:r>
      <w:r>
        <w:rPr>
          <w:sz w:val="26"/>
          <w:szCs w:val="26"/>
        </w:rPr>
        <w:t xml:space="preserve">10 рабочих дней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со дня со дня направления победителю аукциона проекта договора.  О</w:t>
      </w:r>
      <w:r>
        <w:rPr>
          <w:sz w:val="26"/>
          <w:szCs w:val="26"/>
        </w:rPr>
        <w:t xml:space="preserve">существить государственную регистрацию </w:t>
      </w:r>
      <w:r>
        <w:rPr>
          <w:sz w:val="26"/>
          <w:szCs w:val="26"/>
        </w:rPr>
        <w:t xml:space="preserve">перехода права собственности на земельный участок или </w:t>
      </w:r>
      <w:r>
        <w:rPr>
          <w:sz w:val="26"/>
          <w:szCs w:val="26"/>
        </w:rPr>
        <w:t xml:space="preserve">договора аренды земельного участка в порядке, установленном законодательством Российской Федерации.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Уполномоченный орган обязан в течение </w:t>
      </w:r>
      <w:r>
        <w:rPr>
          <w:sz w:val="26"/>
          <w:szCs w:val="26"/>
        </w:rPr>
        <w:t xml:space="preserve">пяти дней со дня истечения срока, предусмотренного </w:t>
      </w:r>
      <w:hyperlink w:tooltip="#Par30" w:anchor="Par30" w:history="1">
        <w:r>
          <w:rPr>
            <w:sz w:val="26"/>
            <w:szCs w:val="26"/>
          </w:rPr>
          <w:t xml:space="preserve">пунктом 11</w:t>
        </w:r>
      </w:hyperlink>
      <w:r>
        <w:rPr>
          <w:sz w:val="26"/>
          <w:szCs w:val="26"/>
        </w:rPr>
        <w:t xml:space="preserve"> ст.39.13 Земельного кодекса Российской Федерации </w:t>
      </w:r>
      <w:r>
        <w:rPr>
          <w:sz w:val="26"/>
          <w:szCs w:val="26"/>
        </w:rPr>
        <w:t xml:space="preserve">настоящей статьи, направить победителю электронного аукциона или иным лицам, с которыми в соответствии с </w:t>
      </w:r>
      <w:hyperlink r:id="rId24" w:tooltip="consultantplus://offline/ref=FC846897312E2BD4721B2384DBE8A58C3C2A4FAB97764E8E4F2A57D7AE78929A029A8F6F69D38F281FBB3293FE6B28B11F6A190F67i3U6J" w:history="1">
        <w:r>
          <w:rPr>
            <w:sz w:val="26"/>
            <w:szCs w:val="26"/>
          </w:rPr>
          <w:t xml:space="preserve">пунктами 13</w:t>
        </w:r>
      </w:hyperlink>
      <w:r>
        <w:rPr>
          <w:sz w:val="26"/>
          <w:szCs w:val="26"/>
        </w:rPr>
        <w:t xml:space="preserve">, </w:t>
      </w:r>
      <w:hyperlink r:id="rId25" w:tooltip="consultantplus://offline/ref=FC846897312E2BD4721B2384DBE8A58C3C2A4FAB97764E8E4F2A57D7AE78929A029A8F6F68DA8F281FBB3293FE6B28B11F6A190F67i3U6J" w:history="1">
        <w:r>
          <w:rPr>
            <w:sz w:val="26"/>
            <w:szCs w:val="26"/>
          </w:rPr>
          <w:t xml:space="preserve">14</w:t>
        </w:r>
      </w:hyperlink>
      <w:r>
        <w:rPr>
          <w:sz w:val="26"/>
          <w:szCs w:val="26"/>
        </w:rPr>
        <w:t xml:space="preserve">, </w:t>
      </w:r>
      <w:hyperlink r:id="rId26" w:tooltip="consultantplus://offline/ref=FC846897312E2BD4721B2384DBE8A58C3C2A4FAB97764E8E4F2A57D7AE78929A029A8F6E61D88F281FBB3293FE6B28B11F6A190F67i3U6J" w:history="1">
        <w:r>
          <w:rPr>
            <w:sz w:val="26"/>
            <w:szCs w:val="26"/>
          </w:rPr>
          <w:t xml:space="preserve">20</w:t>
        </w:r>
      </w:hyperlink>
      <w:r>
        <w:rPr>
          <w:sz w:val="26"/>
          <w:szCs w:val="26"/>
        </w:rPr>
        <w:t xml:space="preserve"> и </w:t>
      </w:r>
      <w:hyperlink r:id="rId27" w:tooltip="consultantplus://offline/ref=FC846897312E2BD4721B2384DBE8A58C3C2A4FAB97764E8E4F2A57D7AE78929A029A8F6861DB867F4CF433CFB83E3BB21F6A1A0F7B362CD9iBU9J" w:history="1">
        <w:r>
          <w:rPr>
            <w:sz w:val="26"/>
            <w:szCs w:val="26"/>
          </w:rPr>
          <w:t xml:space="preserve">25 статьи 39.12</w:t>
        </w:r>
      </w:hyperlink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Земельного кодекса Российской Федерации </w:t>
      </w:r>
      <w:r>
        <w:rPr>
          <w:sz w:val="26"/>
          <w:szCs w:val="26"/>
        </w:rPr>
        <w:t xml:space="preserve">заключается договор купли-продажи земельного участка, находящегося в государств</w:t>
      </w:r>
      <w:r>
        <w:rPr>
          <w:sz w:val="26"/>
          <w:szCs w:val="26"/>
        </w:rPr>
        <w:t xml:space="preserve">енной или муниципальной собственности, либо договор аренды такого участка, подписанный проект договора купли-продажи земельного участка, находящегося в государственной или муниципальной собственности, либо подписанный проект договора аренды такого участка.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72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Если договор купли-продажи или договор аренды земельного участка в течение десяти рабочих дней со дня направления победителю аукциона проектов указанных договоров не были </w:t>
      </w:r>
      <w:r>
        <w:rPr>
          <w:rFonts w:ascii="Times New Roman" w:hAnsi="Times New Roman" w:cs="Times New Roman"/>
          <w:sz w:val="26"/>
          <w:szCs w:val="26"/>
        </w:rPr>
        <w:t xml:space="preserve">им подписаны и представлены в уполномоченный орган, уполномоченный орган направляет указанные договоры участнику аукциона, который сделал предпоследнее предложение о цене предмета аукциона, для их заключения по цене, предложенной таким участником аукциона.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72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случае, если в течение десяти рабочих дней со дня направления участнику аукциона, который сделал предпоследнее предложение о цене предмета аукциона, проекта договора купли-продажи или проекта договора аренды земельного участ</w:t>
      </w:r>
      <w:r>
        <w:rPr>
          <w:rFonts w:ascii="Times New Roman" w:hAnsi="Times New Roman" w:cs="Times New Roman"/>
          <w:sz w:val="26"/>
          <w:szCs w:val="26"/>
        </w:rPr>
        <w:t xml:space="preserve">ка этот участник не представил в уполномоченный орган подписанные им договоры, уполномоченный орган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72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Задаток, внесенный лицом, признанным победителем аукциона, задаток, внесенный иным лицом, с которым договор купли-продажи или договор аренды земельного участка заключается в соответствии с </w:t>
      </w:r>
      <w:hyperlink w:tooltip="13. В случае, если аукцион признан несостоявшимся и только один заявитель признан участником аукциона, уполномоченный орган в течение десяти дней со дня подписания протокола, указанного в пункте 9 настоящей статьи, обязан направить заявителю два экземпляра под" w:anchor="P1349" w:history="1">
        <w:r>
          <w:rPr>
            <w:rFonts w:ascii="Times New Roman" w:hAnsi="Times New Roman" w:cs="Times New Roman"/>
            <w:sz w:val="26"/>
            <w:szCs w:val="26"/>
          </w:rPr>
          <w:t xml:space="preserve">пунктом 13</w:t>
        </w:r>
      </w:hyperlink>
      <w:r>
        <w:rPr>
          <w:rFonts w:ascii="Times New Roman" w:hAnsi="Times New Roman" w:cs="Times New Roman"/>
          <w:sz w:val="26"/>
          <w:szCs w:val="26"/>
        </w:rPr>
        <w:t xml:space="preserve">, </w:t>
      </w:r>
      <w:hyperlink w:tooltip="14. Если единственная заявка на участие в аукционе соответствует указанным в извещении о проведении аукциона условиям и лицо, подавшее указанную заявку, соответствуют требованиям к участникам аукциона, указанным в извещении о проведении аукциона, уполномоченны" w:anchor="P1353" w:history="1">
        <w:r>
          <w:rPr>
            <w:rFonts w:ascii="Times New Roman" w:hAnsi="Times New Roman" w:cs="Times New Roman"/>
            <w:sz w:val="26"/>
            <w:szCs w:val="26"/>
          </w:rPr>
          <w:t xml:space="preserve">14</w:t>
        </w:r>
      </w:hyperlink>
      <w:r>
        <w:rPr>
          <w:rFonts w:ascii="Times New Roman" w:hAnsi="Times New Roman" w:cs="Times New Roman"/>
          <w:sz w:val="26"/>
          <w:szCs w:val="26"/>
        </w:rPr>
        <w:t xml:space="preserve">, </w:t>
      </w:r>
      <w:hyperlink w:tooltip="20. Уполномоченный орган направляет победителю аукциона или единственному принявшему участие в аукционе его участнику два экземпляра подписанного проекта договора купли-продажи или проекта договора аренды земельного участка в пятидневный срок со дня составлени" w:anchor="P1381" w:history="1">
        <w:r>
          <w:rPr>
            <w:rFonts w:ascii="Times New Roman" w:hAnsi="Times New Roman" w:cs="Times New Roman"/>
            <w:sz w:val="26"/>
            <w:szCs w:val="26"/>
          </w:rPr>
          <w:t xml:space="preserve">20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или </w:t>
      </w:r>
      <w:hyperlink w:tooltip="25. Если договор купли-продажи или договор аренды земельного участка в течение десяти рабочих дней со дня направления победителю аукциона проектов указанных договоров не были им подписаны и представлены в уполномоченный орган, уполномоченный орган направляет у" w:anchor="P1394" w:history="1">
        <w:r>
          <w:rPr>
            <w:rFonts w:ascii="Times New Roman" w:hAnsi="Times New Roman" w:cs="Times New Roman"/>
            <w:sz w:val="26"/>
            <w:szCs w:val="26"/>
          </w:rPr>
          <w:t xml:space="preserve">25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статьи 39.12 Земельного кодекса Российской Федерации, засчитываются в оплату приобретаемого земельного участка или </w:t>
      </w:r>
      <w:r>
        <w:rPr>
          <w:rFonts w:ascii="Times New Roman" w:hAnsi="Times New Roman" w:cs="Times New Roman"/>
          <w:sz w:val="26"/>
          <w:szCs w:val="26"/>
        </w:rPr>
        <w:t xml:space="preserve">в счет арендной платы за него. Задатки, внесенные этими лицами, не заключившими в установленном настоящей статьей порядке договора купли-продажи или договора аренды земельного участка вследствие уклонения от заключения указанных договоров, не возвращаются.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63"/>
        <w:ind w:firstLine="708"/>
        <w:spacing w:after="0"/>
        <w:rPr>
          <w:sz w:val="26"/>
          <w:szCs w:val="26"/>
        </w:rPr>
      </w:pPr>
      <w:r>
        <w:rPr>
          <w:sz w:val="26"/>
          <w:szCs w:val="26"/>
        </w:rPr>
        <w:t xml:space="preserve">Сведения о победителях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аукциона, уклонившихся от заключения договора аренды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земельного участка, являющегося предметом аукциона, и об иных лицах, с которыми указанный договор заключается в соот</w:t>
      </w:r>
      <w:r>
        <w:rPr>
          <w:sz w:val="26"/>
          <w:szCs w:val="26"/>
        </w:rPr>
        <w:t xml:space="preserve">ветствии с пунктом 13, 14, 20 или 25</w:t>
      </w:r>
      <w:r>
        <w:rPr>
          <w:sz w:val="26"/>
          <w:szCs w:val="26"/>
        </w:rPr>
        <w:t xml:space="preserve"> статьи 39.12 Земельного кодекса Российской Федерации и которые уклонились от их заключения, включаются в реестр недобросовестных участников аукцион</w:t>
      </w:r>
      <w:r>
        <w:rPr>
          <w:sz w:val="26"/>
          <w:szCs w:val="26"/>
        </w:rPr>
        <w:t xml:space="preserve">ов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63"/>
        <w:ind w:firstLine="720"/>
        <w:spacing w:after="0"/>
        <w:rPr>
          <w:bCs/>
          <w:iCs/>
          <w:color w:val="ff0000"/>
          <w:sz w:val="26"/>
          <w:szCs w:val="26"/>
        </w:rPr>
      </w:pPr>
      <w:r>
        <w:rPr>
          <w:b/>
          <w:bCs/>
          <w:iCs/>
          <w:sz w:val="26"/>
          <w:szCs w:val="26"/>
        </w:rPr>
        <w:t xml:space="preserve">1</w:t>
      </w:r>
      <w:r>
        <w:rPr>
          <w:b/>
          <w:bCs/>
          <w:iCs/>
          <w:sz w:val="26"/>
          <w:szCs w:val="26"/>
        </w:rPr>
        <w:t xml:space="preserve">5</w:t>
      </w:r>
      <w:r>
        <w:rPr>
          <w:b/>
          <w:bCs/>
          <w:iCs/>
          <w:sz w:val="26"/>
          <w:szCs w:val="26"/>
        </w:rPr>
        <w:t xml:space="preserve">. Заключительные положения</w:t>
      </w:r>
      <w:r>
        <w:rPr>
          <w:bCs/>
          <w:iCs/>
          <w:color w:val="ff0000"/>
          <w:sz w:val="26"/>
          <w:szCs w:val="26"/>
        </w:rPr>
      </w:r>
      <w:r>
        <w:rPr>
          <w:bCs/>
          <w:iCs/>
          <w:color w:val="ff0000"/>
          <w:sz w:val="26"/>
          <w:szCs w:val="26"/>
        </w:rPr>
      </w:r>
    </w:p>
    <w:p>
      <w:pPr>
        <w:pStyle w:val="863"/>
        <w:spacing w:after="0"/>
        <w:rPr>
          <w:sz w:val="26"/>
          <w:szCs w:val="26"/>
        </w:rPr>
      </w:pPr>
      <w:r>
        <w:rPr>
          <w:bCs/>
          <w:iCs/>
          <w:color w:val="ff0000"/>
          <w:sz w:val="26"/>
          <w:szCs w:val="26"/>
        </w:rPr>
        <w:tab/>
      </w:r>
      <w:r>
        <w:rPr>
          <w:iCs/>
          <w:sz w:val="26"/>
          <w:szCs w:val="26"/>
        </w:rPr>
        <w:t xml:space="preserve">Все вопросы, касающиеся проведения процедуры, не нашедшие отражения в </w:t>
      </w:r>
      <w:r>
        <w:rPr>
          <w:iCs/>
          <w:sz w:val="26"/>
          <w:szCs w:val="26"/>
        </w:rPr>
        <w:t xml:space="preserve">настоящем извещении, регулируются законодательством Российской Федерации.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Подробнее ознакомиться с объектом продажи, условиями проведения аукциона, подачи Заявки на участие в аукционе, в рабочие дни с 10.00 до 17.00 по теле</w:t>
      </w:r>
      <w:r>
        <w:rPr>
          <w:sz w:val="26"/>
          <w:szCs w:val="26"/>
        </w:rPr>
        <w:t xml:space="preserve">фону: 20-75-18 (</w:t>
      </w:r>
      <w:r>
        <w:rPr>
          <w:sz w:val="26"/>
          <w:szCs w:val="26"/>
        </w:rPr>
        <w:t xml:space="preserve">внутр</w:t>
      </w:r>
      <w:r>
        <w:rPr>
          <w:sz w:val="26"/>
          <w:szCs w:val="26"/>
        </w:rPr>
        <w:t xml:space="preserve">. номер 501, 502</w:t>
      </w:r>
      <w:r>
        <w:rPr>
          <w:sz w:val="26"/>
          <w:szCs w:val="26"/>
        </w:rPr>
        <w:t xml:space="preserve">), в Интернете по адресу: </w:t>
      </w:r>
      <w:r>
        <w:rPr>
          <w:bCs/>
          <w:sz w:val="26"/>
          <w:szCs w:val="26"/>
        </w:rPr>
        <w:t xml:space="preserve">www.torgi.gov. </w:t>
      </w:r>
      <w:r>
        <w:rPr>
          <w:bCs/>
          <w:sz w:val="26"/>
          <w:szCs w:val="26"/>
          <w:lang w:val="en-US"/>
        </w:rPr>
        <w:t xml:space="preserve">r</w:t>
      </w:r>
      <w:r>
        <w:rPr>
          <w:bCs/>
          <w:sz w:val="26"/>
          <w:szCs w:val="26"/>
        </w:rPr>
        <w:t xml:space="preserve">u (ГИС Торги), </w:t>
      </w:r>
      <w:r>
        <w:rPr>
          <w:bCs/>
          <w:sz w:val="26"/>
          <w:szCs w:val="26"/>
        </w:rPr>
        <w:t xml:space="preserve">на официальном сайте уполномоченного органа </w:t>
      </w:r>
      <w:hyperlink r:id="rId28" w:tooltip="http://www.mio.irkobl.ru" w:history="1">
        <w:r>
          <w:rPr>
            <w:rStyle w:val="870"/>
            <w:bCs/>
            <w:color w:val="auto"/>
            <w:sz w:val="26"/>
            <w:szCs w:val="26"/>
            <w:u w:val="none"/>
          </w:rPr>
          <w:t xml:space="preserve">www.mio.irkobl.</w:t>
        </w:r>
        <w:r>
          <w:rPr>
            <w:rStyle w:val="870"/>
            <w:bCs/>
            <w:color w:val="auto"/>
            <w:sz w:val="26"/>
            <w:szCs w:val="26"/>
            <w:u w:val="none"/>
            <w:lang w:val="en-US"/>
          </w:rPr>
          <w:t xml:space="preserve">r</w:t>
        </w:r>
        <w:r>
          <w:rPr>
            <w:rStyle w:val="870"/>
            <w:bCs/>
            <w:color w:val="auto"/>
            <w:sz w:val="26"/>
            <w:szCs w:val="26"/>
            <w:u w:val="none"/>
          </w:rPr>
          <w:t xml:space="preserve">u</w:t>
        </w:r>
      </w:hyperlink>
      <w:r>
        <w:rPr>
          <w:bCs/>
          <w:sz w:val="26"/>
          <w:szCs w:val="26"/>
        </w:rPr>
        <w:t xml:space="preserve">  и  сайте организатора аукциона www.irkfi. </w:t>
      </w:r>
      <w:r>
        <w:rPr>
          <w:bCs/>
          <w:sz w:val="26"/>
          <w:szCs w:val="26"/>
        </w:rPr>
        <w:t xml:space="preserve">ru</w:t>
      </w:r>
      <w:r>
        <w:rPr>
          <w:bCs/>
          <w:sz w:val="26"/>
          <w:szCs w:val="26"/>
          <w:u w:val="single"/>
        </w:rPr>
        <w:t xml:space="preserve">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pStyle w:val="863"/>
        <w:spacing w:after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863"/>
        <w:spacing w:after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863"/>
        <w:spacing w:after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861"/>
        <w:jc w:val="lef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861"/>
        <w:ind w:firstLine="54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Директор</w:t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  <w:t xml:space="preserve">              </w:t>
      </w:r>
      <w:r>
        <w:rPr>
          <w:color w:val="000000"/>
          <w:sz w:val="26"/>
          <w:szCs w:val="26"/>
        </w:rPr>
        <w:t xml:space="preserve">                                                       А.Б. </w:t>
      </w:r>
      <w:r>
        <w:rPr>
          <w:color w:val="000000"/>
          <w:sz w:val="26"/>
          <w:szCs w:val="26"/>
        </w:rPr>
        <w:t xml:space="preserve">Чен</w:t>
      </w:r>
      <w:r>
        <w:rPr>
          <w:color w:val="000000"/>
          <w:sz w:val="26"/>
          <w:szCs w:val="26"/>
        </w:rPr>
        <w:t xml:space="preserve">-Юн-Тай</w:t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861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</w:r>
      <w:r>
        <w:rPr>
          <w:b/>
          <w:color w:val="000000"/>
          <w:sz w:val="26"/>
          <w:szCs w:val="26"/>
        </w:rPr>
      </w:r>
      <w:r>
        <w:rPr>
          <w:b/>
          <w:color w:val="000000"/>
          <w:sz w:val="26"/>
          <w:szCs w:val="26"/>
        </w:rPr>
      </w:r>
    </w:p>
    <w:p>
      <w:pPr>
        <w:pStyle w:val="861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</w:r>
      <w:r>
        <w:rPr>
          <w:b/>
          <w:color w:val="000000"/>
          <w:sz w:val="26"/>
          <w:szCs w:val="26"/>
        </w:rPr>
      </w:r>
      <w:r>
        <w:rPr>
          <w:b/>
          <w:color w:val="000000"/>
          <w:sz w:val="26"/>
          <w:szCs w:val="26"/>
        </w:rPr>
      </w:r>
    </w:p>
    <w:p>
      <w:pPr>
        <w:rPr>
          <w:bCs/>
          <w:sz w:val="26"/>
          <w:szCs w:val="26"/>
        </w:rPr>
      </w:pP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sectPr>
      <w:footnotePr/>
      <w:endnotePr/>
      <w:type w:val="nextPage"/>
      <w:pgSz w:w="11906" w:h="16838" w:orient="portrait"/>
      <w:pgMar w:top="568" w:right="849" w:bottom="851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Wingdings">
    <w:panose1 w:val="05000000000000000000"/>
  </w:font>
  <w:font w:name="Calibri">
    <w:panose1 w:val="020F0502020204030204"/>
  </w:font>
  <w:font w:name="Tahoma">
    <w:panose1 w:val="020B0604030504040204"/>
  </w:font>
  <w:font w:name="Times New Roman">
    <w:panose1 w:val="02020603050405020304"/>
  </w:font>
  <w:font w:name="Courier New">
    <w:panose1 w:val="020703090202050204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2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5" w:hanging="360"/>
      </w:pPr>
      <w:rPr>
        <w:rFonts w:hint="default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5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531" w:hanging="128"/>
      </w:pPr>
      <w:rPr>
        <w:rFonts w:hint="default"/>
        <w:lang w:val="ru-RU" w:eastAsia="en-US" w:bidi="ar-SA"/>
      </w:rPr>
    </w:lvl>
    <w:lvl w:ilvl="1">
      <w:start w:val="1"/>
      <w:numFmt w:val="bullet"/>
      <w:isLgl w:val="false"/>
      <w:suff w:val="tab"/>
      <w:lvlText w:val="•"/>
      <w:lvlJc w:val="left"/>
      <w:pPr>
        <w:ind w:left="1600" w:hanging="128"/>
      </w:pPr>
      <w:rPr>
        <w:rFonts w:hint="default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2661" w:hanging="128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3721" w:hanging="128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4782" w:hanging="128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5843" w:hanging="128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6903" w:hanging="128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7964" w:hanging="128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9025" w:hanging="128"/>
      </w:pPr>
      <w:rPr>
        <w:rFonts w:hint="default"/>
        <w:lang w:val="ru-RU" w:eastAsia="en-US" w:bidi="ar-SA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cs="Times New Roman"/>
      </w:rPr>
    </w:lvl>
    <w:lvl w:ilvl="1">
      <w:start w:val="1"/>
      <w:numFmt w:val="decimal"/>
      <w:isLgl/>
      <w:suff w:val="tab"/>
      <w:lvlText w:val="%1.%2."/>
      <w:lvlJc w:val="left"/>
      <w:pPr>
        <w:ind w:left="1203" w:hanging="495"/>
      </w:pPr>
      <w:rPr>
        <w:rFonts w:hint="default" w:cs="Times New Roman"/>
        <w:b/>
      </w:rPr>
    </w:lvl>
    <w:lvl w:ilvl="2">
      <w:start w:val="1"/>
      <w:numFmt w:val="decimal"/>
      <w:isLgl/>
      <w:suff w:val="tab"/>
      <w:lvlText w:val="%1.%2.%3."/>
      <w:lvlJc w:val="left"/>
      <w:pPr>
        <w:ind w:left="1776" w:hanging="720"/>
      </w:pPr>
      <w:rPr>
        <w:rFonts w:hint="default" w:cs="Times New Roman"/>
        <w:b/>
      </w:rPr>
    </w:lvl>
    <w:lvl w:ilvl="3">
      <w:start w:val="1"/>
      <w:numFmt w:val="decimal"/>
      <w:isLgl/>
      <w:suff w:val="tab"/>
      <w:lvlText w:val="%1.%2.%3.%4."/>
      <w:lvlJc w:val="left"/>
      <w:pPr>
        <w:ind w:left="2124" w:hanging="720"/>
      </w:pPr>
      <w:rPr>
        <w:rFonts w:hint="default" w:cs="Times New Roman"/>
        <w:b/>
      </w:rPr>
    </w:lvl>
    <w:lvl w:ilvl="4">
      <w:start w:val="1"/>
      <w:numFmt w:val="decimal"/>
      <w:isLgl/>
      <w:suff w:val="tab"/>
      <w:lvlText w:val="%1.%2.%3.%4.%5."/>
      <w:lvlJc w:val="left"/>
      <w:pPr>
        <w:ind w:left="2832" w:hanging="1080"/>
      </w:pPr>
      <w:rPr>
        <w:rFonts w:hint="default" w:cs="Times New Roman"/>
        <w:b/>
      </w:rPr>
    </w:lvl>
    <w:lvl w:ilvl="5">
      <w:start w:val="1"/>
      <w:numFmt w:val="decimal"/>
      <w:isLgl/>
      <w:suff w:val="tab"/>
      <w:lvlText w:val="%1.%2.%3.%4.%5.%6."/>
      <w:lvlJc w:val="left"/>
      <w:pPr>
        <w:ind w:left="3180" w:hanging="1080"/>
      </w:pPr>
      <w:rPr>
        <w:rFonts w:hint="default" w:cs="Times New Roman"/>
        <w:b/>
      </w:rPr>
    </w:lvl>
    <w:lvl w:ilvl="6">
      <w:start w:val="1"/>
      <w:numFmt w:val="decimal"/>
      <w:isLgl/>
      <w:suff w:val="tab"/>
      <w:lvlText w:val="%1.%2.%3.%4.%5.%6.%7."/>
      <w:lvlJc w:val="left"/>
      <w:pPr>
        <w:ind w:left="3888" w:hanging="1440"/>
      </w:pPr>
      <w:rPr>
        <w:rFonts w:hint="default" w:cs="Times New Roman"/>
        <w:b/>
      </w:rPr>
    </w:lvl>
    <w:lvl w:ilvl="7">
      <w:start w:val="1"/>
      <w:numFmt w:val="decimal"/>
      <w:isLgl/>
      <w:suff w:val="tab"/>
      <w:lvlText w:val="%1.%2.%3.%4.%5.%6.%7.%8."/>
      <w:lvlJc w:val="left"/>
      <w:pPr>
        <w:ind w:left="4236" w:hanging="1440"/>
      </w:pPr>
      <w:rPr>
        <w:rFonts w:hint="default" w:cs="Times New Roman"/>
        <w:b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944" w:hanging="1800"/>
      </w:pPr>
      <w:rPr>
        <w:rFonts w:hint="default" w:cs="Times New Roman"/>
        <w:b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61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3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5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7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49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1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3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59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)"/>
      <w:legacy w:legacy="1" w:legacyIndent="302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13">
    <w:multiLevelType w:val="hybridMultilevel"/>
    <w:lvl w:ilvl="0">
      <w:start w:val="5"/>
      <w:numFmt w:val="decimal"/>
      <w:isLgl w:val="false"/>
      <w:suff w:val="tab"/>
      <w:lvlText w:val="4.%1."/>
      <w:legacy w:legacy="1" w:legacyIndent="518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num w:numId="1">
    <w:abstractNumId w:val="11"/>
  </w:num>
  <w:num w:numId="2">
    <w:abstractNumId w:val="4"/>
  </w:num>
  <w:num w:numId="3">
    <w:abstractNumId w:val="6"/>
  </w:num>
  <w:num w:numId="4">
    <w:abstractNumId w:val="1"/>
  </w:num>
  <w:num w:numId="5">
    <w:abstractNumId w:val="0"/>
  </w:num>
  <w:num w:numId="6">
    <w:abstractNumId w:val="5"/>
  </w:num>
  <w:num w:numId="7">
    <w:abstractNumId w:val="13"/>
  </w:num>
  <w:num w:numId="8">
    <w:abstractNumId w:val="10"/>
  </w:num>
  <w:num w:numId="9">
    <w:abstractNumId w:val="8"/>
  </w:num>
  <w:num w:numId="10">
    <w:abstractNumId w:val="2"/>
  </w:num>
  <w:num w:numId="11">
    <w:abstractNumId w:val="12"/>
  </w:num>
  <w:num w:numId="12">
    <w:abstractNumId w:val="9"/>
  </w:num>
  <w:num w:numId="13">
    <w:abstractNumId w:val="7"/>
  </w:num>
  <w:num w:numId="14">
    <w:abstractNumId w:val="3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84">
    <w:name w:val="Heading 1"/>
    <w:basedOn w:val="857"/>
    <w:next w:val="857"/>
    <w:link w:val="68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85">
    <w:name w:val="Heading 1 Char"/>
    <w:basedOn w:val="858"/>
    <w:link w:val="684"/>
    <w:uiPriority w:val="9"/>
    <w:rPr>
      <w:rFonts w:ascii="Arial" w:hAnsi="Arial" w:eastAsia="Arial" w:cs="Arial"/>
      <w:sz w:val="40"/>
      <w:szCs w:val="40"/>
    </w:rPr>
  </w:style>
  <w:style w:type="paragraph" w:styleId="686">
    <w:name w:val="Heading 2"/>
    <w:basedOn w:val="857"/>
    <w:next w:val="857"/>
    <w:link w:val="68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7">
    <w:name w:val="Heading 2 Char"/>
    <w:basedOn w:val="858"/>
    <w:link w:val="686"/>
    <w:uiPriority w:val="9"/>
    <w:rPr>
      <w:rFonts w:ascii="Arial" w:hAnsi="Arial" w:eastAsia="Arial" w:cs="Arial"/>
      <w:sz w:val="34"/>
    </w:rPr>
  </w:style>
  <w:style w:type="paragraph" w:styleId="688">
    <w:name w:val="Heading 3"/>
    <w:basedOn w:val="857"/>
    <w:next w:val="857"/>
    <w:link w:val="68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9">
    <w:name w:val="Heading 3 Char"/>
    <w:basedOn w:val="858"/>
    <w:link w:val="688"/>
    <w:uiPriority w:val="9"/>
    <w:rPr>
      <w:rFonts w:ascii="Arial" w:hAnsi="Arial" w:eastAsia="Arial" w:cs="Arial"/>
      <w:sz w:val="30"/>
      <w:szCs w:val="30"/>
    </w:rPr>
  </w:style>
  <w:style w:type="paragraph" w:styleId="690">
    <w:name w:val="Heading 4"/>
    <w:basedOn w:val="857"/>
    <w:next w:val="857"/>
    <w:link w:val="69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91">
    <w:name w:val="Heading 4 Char"/>
    <w:basedOn w:val="858"/>
    <w:link w:val="690"/>
    <w:uiPriority w:val="9"/>
    <w:rPr>
      <w:rFonts w:ascii="Arial" w:hAnsi="Arial" w:eastAsia="Arial" w:cs="Arial"/>
      <w:b/>
      <w:bCs/>
      <w:sz w:val="26"/>
      <w:szCs w:val="26"/>
    </w:rPr>
  </w:style>
  <w:style w:type="paragraph" w:styleId="692">
    <w:name w:val="Heading 5"/>
    <w:basedOn w:val="857"/>
    <w:next w:val="857"/>
    <w:link w:val="69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93">
    <w:name w:val="Heading 5 Char"/>
    <w:basedOn w:val="858"/>
    <w:link w:val="692"/>
    <w:uiPriority w:val="9"/>
    <w:rPr>
      <w:rFonts w:ascii="Arial" w:hAnsi="Arial" w:eastAsia="Arial" w:cs="Arial"/>
      <w:b/>
      <w:bCs/>
      <w:sz w:val="24"/>
      <w:szCs w:val="24"/>
    </w:rPr>
  </w:style>
  <w:style w:type="paragraph" w:styleId="694">
    <w:name w:val="Heading 6"/>
    <w:basedOn w:val="857"/>
    <w:next w:val="857"/>
    <w:link w:val="69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95">
    <w:name w:val="Heading 6 Char"/>
    <w:basedOn w:val="858"/>
    <w:link w:val="694"/>
    <w:uiPriority w:val="9"/>
    <w:rPr>
      <w:rFonts w:ascii="Arial" w:hAnsi="Arial" w:eastAsia="Arial" w:cs="Arial"/>
      <w:b/>
      <w:bCs/>
      <w:sz w:val="22"/>
      <w:szCs w:val="22"/>
    </w:rPr>
  </w:style>
  <w:style w:type="paragraph" w:styleId="696">
    <w:name w:val="Heading 7"/>
    <w:basedOn w:val="857"/>
    <w:next w:val="857"/>
    <w:link w:val="69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7">
    <w:name w:val="Heading 7 Char"/>
    <w:basedOn w:val="858"/>
    <w:link w:val="69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8">
    <w:name w:val="Heading 8"/>
    <w:basedOn w:val="857"/>
    <w:next w:val="857"/>
    <w:link w:val="69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9">
    <w:name w:val="Heading 8 Char"/>
    <w:basedOn w:val="858"/>
    <w:link w:val="698"/>
    <w:uiPriority w:val="9"/>
    <w:rPr>
      <w:rFonts w:ascii="Arial" w:hAnsi="Arial" w:eastAsia="Arial" w:cs="Arial"/>
      <w:i/>
      <w:iCs/>
      <w:sz w:val="22"/>
      <w:szCs w:val="22"/>
    </w:rPr>
  </w:style>
  <w:style w:type="paragraph" w:styleId="700">
    <w:name w:val="Heading 9"/>
    <w:basedOn w:val="857"/>
    <w:next w:val="857"/>
    <w:link w:val="70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1">
    <w:name w:val="Heading 9 Char"/>
    <w:basedOn w:val="858"/>
    <w:link w:val="700"/>
    <w:uiPriority w:val="9"/>
    <w:rPr>
      <w:rFonts w:ascii="Arial" w:hAnsi="Arial" w:eastAsia="Arial" w:cs="Arial"/>
      <w:i/>
      <w:iCs/>
      <w:sz w:val="21"/>
      <w:szCs w:val="21"/>
    </w:rPr>
  </w:style>
  <w:style w:type="paragraph" w:styleId="702">
    <w:name w:val="No Spacing"/>
    <w:uiPriority w:val="1"/>
    <w:qFormat/>
    <w:pPr>
      <w:spacing w:before="0" w:after="0" w:line="240" w:lineRule="auto"/>
    </w:pPr>
  </w:style>
  <w:style w:type="character" w:styleId="703">
    <w:name w:val="Title Char"/>
    <w:basedOn w:val="858"/>
    <w:link w:val="861"/>
    <w:uiPriority w:val="10"/>
    <w:rPr>
      <w:sz w:val="48"/>
      <w:szCs w:val="48"/>
    </w:rPr>
  </w:style>
  <w:style w:type="paragraph" w:styleId="704">
    <w:name w:val="Subtitle"/>
    <w:basedOn w:val="857"/>
    <w:next w:val="857"/>
    <w:link w:val="705"/>
    <w:uiPriority w:val="11"/>
    <w:qFormat/>
    <w:pPr>
      <w:spacing w:before="200" w:after="200"/>
    </w:pPr>
    <w:rPr>
      <w:sz w:val="24"/>
      <w:szCs w:val="24"/>
    </w:rPr>
  </w:style>
  <w:style w:type="character" w:styleId="705">
    <w:name w:val="Subtitle Char"/>
    <w:basedOn w:val="858"/>
    <w:link w:val="704"/>
    <w:uiPriority w:val="11"/>
    <w:rPr>
      <w:sz w:val="24"/>
      <w:szCs w:val="24"/>
    </w:rPr>
  </w:style>
  <w:style w:type="paragraph" w:styleId="706">
    <w:name w:val="Quote"/>
    <w:basedOn w:val="857"/>
    <w:next w:val="857"/>
    <w:link w:val="707"/>
    <w:uiPriority w:val="29"/>
    <w:qFormat/>
    <w:pPr>
      <w:ind w:left="720" w:right="720"/>
    </w:pPr>
    <w:rPr>
      <w:i/>
    </w:rPr>
  </w:style>
  <w:style w:type="character" w:styleId="707">
    <w:name w:val="Quote Char"/>
    <w:link w:val="706"/>
    <w:uiPriority w:val="29"/>
    <w:rPr>
      <w:i/>
    </w:rPr>
  </w:style>
  <w:style w:type="paragraph" w:styleId="708">
    <w:name w:val="Intense Quote"/>
    <w:basedOn w:val="857"/>
    <w:next w:val="857"/>
    <w:link w:val="70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9">
    <w:name w:val="Intense Quote Char"/>
    <w:link w:val="708"/>
    <w:uiPriority w:val="30"/>
    <w:rPr>
      <w:i/>
    </w:rPr>
  </w:style>
  <w:style w:type="paragraph" w:styleId="710">
    <w:name w:val="Header"/>
    <w:basedOn w:val="857"/>
    <w:link w:val="71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1">
    <w:name w:val="Header Char"/>
    <w:basedOn w:val="858"/>
    <w:link w:val="710"/>
    <w:uiPriority w:val="99"/>
  </w:style>
  <w:style w:type="paragraph" w:styleId="712">
    <w:name w:val="Footer"/>
    <w:basedOn w:val="857"/>
    <w:link w:val="71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3">
    <w:name w:val="Footer Char"/>
    <w:basedOn w:val="858"/>
    <w:link w:val="712"/>
    <w:uiPriority w:val="99"/>
  </w:style>
  <w:style w:type="character" w:styleId="714">
    <w:name w:val="Caption Char"/>
    <w:basedOn w:val="858"/>
    <w:link w:val="889"/>
    <w:uiPriority w:val="35"/>
    <w:rPr>
      <w:b/>
      <w:bCs/>
      <w:color w:val="4f81bd" w:themeColor="accent1"/>
      <w:sz w:val="18"/>
      <w:szCs w:val="18"/>
    </w:rPr>
  </w:style>
  <w:style w:type="table" w:styleId="715">
    <w:name w:val="Table Grid Light"/>
    <w:basedOn w:val="85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6">
    <w:name w:val="Plain Table 1"/>
    <w:basedOn w:val="85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7">
    <w:name w:val="Plain Table 2"/>
    <w:basedOn w:val="85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8">
    <w:name w:val="Plain Table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9">
    <w:name w:val="Plain Table 4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Plain Table 5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1">
    <w:name w:val="Grid Table 1 Light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1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1 Light - Accent 2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1 Light - Accent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Grid Table 1 Light - Accent 4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Grid Table 1 Light - Accent 5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Grid Table 1 Light - Accent 6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2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1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2 - Accent 2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2 - Accent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2 - Accent 4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2 - Accent 5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2 - Accent 6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1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 - Accent 2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3 - Accent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3 - Accent 4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3 - Accent 5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3 - Accent 6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4"/>
    <w:basedOn w:val="85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3">
    <w:name w:val="Grid Table 4 - Accent 1"/>
    <w:basedOn w:val="85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4">
    <w:name w:val="Grid Table 4 - Accent 2"/>
    <w:basedOn w:val="85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5">
    <w:name w:val="Grid Table 4 - Accent 3"/>
    <w:basedOn w:val="85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6">
    <w:name w:val="Grid Table 4 - Accent 4"/>
    <w:basedOn w:val="85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7">
    <w:name w:val="Grid Table 4 - Accent 5"/>
    <w:basedOn w:val="85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8">
    <w:name w:val="Grid Table 4 - Accent 6"/>
    <w:basedOn w:val="85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9">
    <w:name w:val="Grid Table 5 Dark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0">
    <w:name w:val="Grid Table 5 Dark- Accent 1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51">
    <w:name w:val="Grid Table 5 Dark - Accent 2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52">
    <w:name w:val="Grid Table 5 Dark - Accent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53">
    <w:name w:val="Grid Table 5 Dark- Accent 4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54">
    <w:name w:val="Grid Table 5 Dark - Accent 5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55">
    <w:name w:val="Grid Table 5 Dark - Accent 6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56">
    <w:name w:val="Grid Table 6 Colorful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7">
    <w:name w:val="Grid Table 6 Colorful - Accent 1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8">
    <w:name w:val="Grid Table 6 Colorful - Accent 2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9">
    <w:name w:val="Grid Table 6 Colorful - Accent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0">
    <w:name w:val="Grid Table 6 Colorful - Accent 4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1">
    <w:name w:val="Grid Table 6 Colorful - Accent 5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2">
    <w:name w:val="Grid Table 6 Colorful - Accent 6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3">
    <w:name w:val="Grid Table 7 Colorful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1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7 Colorful - Accent 2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7 Colorful - Accent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7 Colorful - Accent 4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7 Colorful - Accent 5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7 Colorful - Accent 6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1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 - Accent 2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1 Light - Accent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1 Light - Accent 4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1 Light - Accent 5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 - Accent 6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2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8">
    <w:name w:val="List Table 2 - Accent 1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9">
    <w:name w:val="List Table 2 - Accent 2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0">
    <w:name w:val="List Table 2 - Accent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1">
    <w:name w:val="List Table 2 - Accent 4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2">
    <w:name w:val="List Table 2 - Accent 5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3">
    <w:name w:val="List Table 2 - Accent 6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4">
    <w:name w:val="List Table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1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3 - Accent 2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3 - Accent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3 - Accent 4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3 - Accent 5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3 - Accent 6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1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 - Accent 2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4 - Accent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4 - Accent 4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4 - Accent 5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 - Accent 6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5 Dark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1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5 Dark - Accent 2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1">
    <w:name w:val="List Table 5 Dark - Accent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2">
    <w:name w:val="List Table 5 Dark - Accent 4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3">
    <w:name w:val="List Table 5 Dark - Accent 5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4">
    <w:name w:val="List Table 5 Dark - Accent 6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5">
    <w:name w:val="List Table 6 Colorful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6">
    <w:name w:val="List Table 6 Colorful - Accent 1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7">
    <w:name w:val="List Table 6 Colorful - Accent 2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8">
    <w:name w:val="List Table 6 Colorful - Accent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9">
    <w:name w:val="List Table 6 Colorful - Accent 4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0">
    <w:name w:val="List Table 6 Colorful - Accent 5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1">
    <w:name w:val="List Table 6 Colorful - Accent 6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2">
    <w:name w:val="List Table 7 Colorful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3">
    <w:name w:val="List Table 7 Colorful - Accent 1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14">
    <w:name w:val="List Table 7 Colorful - Accent 2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15">
    <w:name w:val="List Table 7 Colorful - Accent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16">
    <w:name w:val="List Table 7 Colorful - Accent 4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17">
    <w:name w:val="List Table 7 Colorful - Accent 5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18">
    <w:name w:val="List Table 7 Colorful - Accent 6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19">
    <w:name w:val="Lined - Accent"/>
    <w:basedOn w:val="8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0">
    <w:name w:val="Lined - Accent 1"/>
    <w:basedOn w:val="8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1">
    <w:name w:val="Lined - Accent 2"/>
    <w:basedOn w:val="8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2">
    <w:name w:val="Lined - Accent 3"/>
    <w:basedOn w:val="8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3">
    <w:name w:val="Lined - Accent 4"/>
    <w:basedOn w:val="8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4">
    <w:name w:val="Lined - Accent 5"/>
    <w:basedOn w:val="8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5">
    <w:name w:val="Lined - Accent 6"/>
    <w:basedOn w:val="8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6">
    <w:name w:val="Bordered &amp; Lined - Accent"/>
    <w:basedOn w:val="8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7">
    <w:name w:val="Bordered &amp; Lined - Accent 1"/>
    <w:basedOn w:val="8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8">
    <w:name w:val="Bordered &amp; Lined - Accent 2"/>
    <w:basedOn w:val="8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9">
    <w:name w:val="Bordered &amp; Lined - Accent 3"/>
    <w:basedOn w:val="8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0">
    <w:name w:val="Bordered &amp; Lined - Accent 4"/>
    <w:basedOn w:val="8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1">
    <w:name w:val="Bordered &amp; Lined - Accent 5"/>
    <w:basedOn w:val="8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2">
    <w:name w:val="Bordered &amp; Lined - Accent 6"/>
    <w:basedOn w:val="8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3">
    <w:name w:val="Bordered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4">
    <w:name w:val="Bordered - Accent 1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5">
    <w:name w:val="Bordered - Accent 2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6">
    <w:name w:val="Bordered - Accent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7">
    <w:name w:val="Bordered - Accent 4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8">
    <w:name w:val="Bordered - Accent 5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9">
    <w:name w:val="Bordered - Accent 6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40">
    <w:name w:val="footnote text"/>
    <w:basedOn w:val="857"/>
    <w:link w:val="841"/>
    <w:uiPriority w:val="99"/>
    <w:semiHidden/>
    <w:unhideWhenUsed/>
    <w:pPr>
      <w:spacing w:after="40" w:line="240" w:lineRule="auto"/>
    </w:pPr>
    <w:rPr>
      <w:sz w:val="18"/>
    </w:rPr>
  </w:style>
  <w:style w:type="character" w:styleId="841">
    <w:name w:val="Footnote Text Char"/>
    <w:link w:val="840"/>
    <w:uiPriority w:val="99"/>
    <w:rPr>
      <w:sz w:val="18"/>
    </w:rPr>
  </w:style>
  <w:style w:type="character" w:styleId="842">
    <w:name w:val="footnote reference"/>
    <w:basedOn w:val="858"/>
    <w:uiPriority w:val="99"/>
    <w:unhideWhenUsed/>
    <w:rPr>
      <w:vertAlign w:val="superscript"/>
    </w:rPr>
  </w:style>
  <w:style w:type="paragraph" w:styleId="843">
    <w:name w:val="endnote text"/>
    <w:basedOn w:val="857"/>
    <w:link w:val="844"/>
    <w:uiPriority w:val="99"/>
    <w:semiHidden/>
    <w:unhideWhenUsed/>
    <w:pPr>
      <w:spacing w:after="0" w:line="240" w:lineRule="auto"/>
    </w:pPr>
    <w:rPr>
      <w:sz w:val="20"/>
    </w:rPr>
  </w:style>
  <w:style w:type="character" w:styleId="844">
    <w:name w:val="Endnote Text Char"/>
    <w:link w:val="843"/>
    <w:uiPriority w:val="99"/>
    <w:rPr>
      <w:sz w:val="20"/>
    </w:rPr>
  </w:style>
  <w:style w:type="character" w:styleId="845">
    <w:name w:val="endnote reference"/>
    <w:basedOn w:val="858"/>
    <w:uiPriority w:val="99"/>
    <w:semiHidden/>
    <w:unhideWhenUsed/>
    <w:rPr>
      <w:vertAlign w:val="superscript"/>
    </w:rPr>
  </w:style>
  <w:style w:type="paragraph" w:styleId="846">
    <w:name w:val="toc 1"/>
    <w:basedOn w:val="857"/>
    <w:next w:val="857"/>
    <w:uiPriority w:val="39"/>
    <w:unhideWhenUsed/>
    <w:pPr>
      <w:ind w:left="0" w:right="0" w:firstLine="0"/>
      <w:spacing w:after="57"/>
    </w:pPr>
  </w:style>
  <w:style w:type="paragraph" w:styleId="847">
    <w:name w:val="toc 2"/>
    <w:basedOn w:val="857"/>
    <w:next w:val="857"/>
    <w:uiPriority w:val="39"/>
    <w:unhideWhenUsed/>
    <w:pPr>
      <w:ind w:left="283" w:right="0" w:firstLine="0"/>
      <w:spacing w:after="57"/>
    </w:pPr>
  </w:style>
  <w:style w:type="paragraph" w:styleId="848">
    <w:name w:val="toc 3"/>
    <w:basedOn w:val="857"/>
    <w:next w:val="857"/>
    <w:uiPriority w:val="39"/>
    <w:unhideWhenUsed/>
    <w:pPr>
      <w:ind w:left="567" w:right="0" w:firstLine="0"/>
      <w:spacing w:after="57"/>
    </w:pPr>
  </w:style>
  <w:style w:type="paragraph" w:styleId="849">
    <w:name w:val="toc 4"/>
    <w:basedOn w:val="857"/>
    <w:next w:val="857"/>
    <w:uiPriority w:val="39"/>
    <w:unhideWhenUsed/>
    <w:pPr>
      <w:ind w:left="850" w:right="0" w:firstLine="0"/>
      <w:spacing w:after="57"/>
    </w:pPr>
  </w:style>
  <w:style w:type="paragraph" w:styleId="850">
    <w:name w:val="toc 5"/>
    <w:basedOn w:val="857"/>
    <w:next w:val="857"/>
    <w:uiPriority w:val="39"/>
    <w:unhideWhenUsed/>
    <w:pPr>
      <w:ind w:left="1134" w:right="0" w:firstLine="0"/>
      <w:spacing w:after="57"/>
    </w:pPr>
  </w:style>
  <w:style w:type="paragraph" w:styleId="851">
    <w:name w:val="toc 6"/>
    <w:basedOn w:val="857"/>
    <w:next w:val="857"/>
    <w:uiPriority w:val="39"/>
    <w:unhideWhenUsed/>
    <w:pPr>
      <w:ind w:left="1417" w:right="0" w:firstLine="0"/>
      <w:spacing w:after="57"/>
    </w:pPr>
  </w:style>
  <w:style w:type="paragraph" w:styleId="852">
    <w:name w:val="toc 7"/>
    <w:basedOn w:val="857"/>
    <w:next w:val="857"/>
    <w:uiPriority w:val="39"/>
    <w:unhideWhenUsed/>
    <w:pPr>
      <w:ind w:left="1701" w:right="0" w:firstLine="0"/>
      <w:spacing w:after="57"/>
    </w:pPr>
  </w:style>
  <w:style w:type="paragraph" w:styleId="853">
    <w:name w:val="toc 8"/>
    <w:basedOn w:val="857"/>
    <w:next w:val="857"/>
    <w:uiPriority w:val="39"/>
    <w:unhideWhenUsed/>
    <w:pPr>
      <w:ind w:left="1984" w:right="0" w:firstLine="0"/>
      <w:spacing w:after="57"/>
    </w:pPr>
  </w:style>
  <w:style w:type="paragraph" w:styleId="854">
    <w:name w:val="toc 9"/>
    <w:basedOn w:val="857"/>
    <w:next w:val="857"/>
    <w:uiPriority w:val="39"/>
    <w:unhideWhenUsed/>
    <w:pPr>
      <w:ind w:left="2268" w:right="0" w:firstLine="0"/>
      <w:spacing w:after="57"/>
    </w:pPr>
  </w:style>
  <w:style w:type="paragraph" w:styleId="855">
    <w:name w:val="TOC Heading"/>
    <w:uiPriority w:val="39"/>
    <w:unhideWhenUsed/>
  </w:style>
  <w:style w:type="paragraph" w:styleId="856">
    <w:name w:val="table of figures"/>
    <w:basedOn w:val="857"/>
    <w:next w:val="857"/>
    <w:uiPriority w:val="99"/>
    <w:unhideWhenUsed/>
    <w:pPr>
      <w:spacing w:after="0" w:afterAutospacing="0"/>
    </w:pPr>
  </w:style>
  <w:style w:type="paragraph" w:styleId="857" w:default="1">
    <w:name w:val="Normal"/>
    <w:qFormat/>
    <w:rPr>
      <w:sz w:val="24"/>
      <w:szCs w:val="24"/>
    </w:rPr>
  </w:style>
  <w:style w:type="character" w:styleId="858" w:default="1">
    <w:name w:val="Default Paragraph Font"/>
    <w:uiPriority w:val="1"/>
    <w:semiHidden/>
    <w:unhideWhenUsed/>
  </w:style>
  <w:style w:type="table" w:styleId="85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0" w:default="1">
    <w:name w:val="No List"/>
    <w:uiPriority w:val="99"/>
    <w:semiHidden/>
    <w:unhideWhenUsed/>
  </w:style>
  <w:style w:type="paragraph" w:styleId="861">
    <w:name w:val="Title"/>
    <w:basedOn w:val="857"/>
    <w:link w:val="877"/>
    <w:uiPriority w:val="99"/>
    <w:qFormat/>
    <w:pPr>
      <w:jc w:val="center"/>
    </w:pPr>
    <w:rPr>
      <w:bCs/>
      <w:szCs w:val="20"/>
    </w:rPr>
  </w:style>
  <w:style w:type="paragraph" w:styleId="862" w:customStyle="1">
    <w:name w:val="ConsPlusTitle"/>
    <w:rPr>
      <w:b/>
      <w:bCs/>
      <w:sz w:val="24"/>
      <w:szCs w:val="24"/>
    </w:rPr>
  </w:style>
  <w:style w:type="paragraph" w:styleId="863">
    <w:name w:val="Body Text"/>
    <w:basedOn w:val="857"/>
    <w:link w:val="869"/>
    <w:pPr>
      <w:jc w:val="both"/>
      <w:spacing w:after="120"/>
      <w:widowControl w:val="off"/>
    </w:pPr>
    <w:rPr>
      <w:sz w:val="28"/>
      <w:szCs w:val="20"/>
    </w:rPr>
  </w:style>
  <w:style w:type="paragraph" w:styleId="864" w:customStyle="1">
    <w:name w:val="Таблицы (моноширинный)"/>
    <w:basedOn w:val="857"/>
    <w:next w:val="857"/>
    <w:pPr>
      <w:jc w:val="both"/>
      <w:widowControl w:val="off"/>
    </w:pPr>
    <w:rPr>
      <w:rFonts w:ascii="Courier New" w:hAnsi="Courier New" w:cs="Courier New"/>
      <w:sz w:val="20"/>
      <w:szCs w:val="20"/>
    </w:rPr>
  </w:style>
  <w:style w:type="paragraph" w:styleId="865">
    <w:name w:val="Body Text 2"/>
    <w:basedOn w:val="857"/>
    <w:link w:val="880"/>
    <w:rPr>
      <w:sz w:val="26"/>
      <w:szCs w:val="20"/>
    </w:rPr>
  </w:style>
  <w:style w:type="paragraph" w:styleId="866">
    <w:name w:val="Body Text Indent"/>
    <w:basedOn w:val="857"/>
    <w:link w:val="878"/>
    <w:pPr>
      <w:ind w:firstLine="360"/>
    </w:pPr>
    <w:rPr>
      <w:sz w:val="26"/>
      <w:szCs w:val="20"/>
    </w:rPr>
  </w:style>
  <w:style w:type="paragraph" w:styleId="867">
    <w:name w:val="Body Text Indent 2"/>
    <w:basedOn w:val="857"/>
    <w:link w:val="879"/>
    <w:pPr>
      <w:ind w:firstLine="709"/>
      <w:jc w:val="both"/>
    </w:pPr>
    <w:rPr>
      <w:sz w:val="28"/>
      <w:szCs w:val="20"/>
    </w:rPr>
  </w:style>
  <w:style w:type="paragraph" w:styleId="868" w:customStyle="1">
    <w:name w:val="ConsPlusNonformat"/>
    <w:rPr>
      <w:rFonts w:ascii="Courier New" w:hAnsi="Courier New" w:cs="Courier New"/>
    </w:rPr>
  </w:style>
  <w:style w:type="character" w:styleId="869" w:customStyle="1">
    <w:name w:val="Основной текст Знак"/>
    <w:basedOn w:val="858"/>
    <w:link w:val="863"/>
    <w:rPr>
      <w:rFonts w:cs="Times New Roman"/>
      <w:sz w:val="28"/>
      <w:lang w:val="ru-RU" w:eastAsia="ru-RU" w:bidi="ar-SA"/>
    </w:rPr>
  </w:style>
  <w:style w:type="character" w:styleId="870">
    <w:name w:val="Hyperlink"/>
    <w:basedOn w:val="858"/>
    <w:rPr>
      <w:rFonts w:cs="Times New Roman"/>
      <w:color w:val="0000ff"/>
      <w:u w:val="single"/>
    </w:rPr>
  </w:style>
  <w:style w:type="paragraph" w:styleId="871">
    <w:name w:val="Balloon Text"/>
    <w:basedOn w:val="857"/>
    <w:semiHidden/>
    <w:rPr>
      <w:rFonts w:ascii="Tahoma" w:hAnsi="Tahoma" w:cs="Tahoma"/>
      <w:sz w:val="16"/>
      <w:szCs w:val="16"/>
    </w:rPr>
  </w:style>
  <w:style w:type="paragraph" w:styleId="872" w:customStyle="1">
    <w:name w:val="ConsPlusNormal"/>
    <w:pPr>
      <w:ind w:firstLine="720"/>
    </w:pPr>
    <w:rPr>
      <w:rFonts w:ascii="Arial" w:hAnsi="Arial" w:cs="Arial"/>
    </w:rPr>
  </w:style>
  <w:style w:type="paragraph" w:styleId="873" w:customStyle="1">
    <w:name w:val="Style3"/>
    <w:basedOn w:val="857"/>
    <w:pPr>
      <w:ind w:firstLine="706"/>
      <w:jc w:val="both"/>
      <w:spacing w:line="322" w:lineRule="exact"/>
      <w:widowControl w:val="off"/>
    </w:pPr>
  </w:style>
  <w:style w:type="character" w:styleId="874" w:customStyle="1">
    <w:name w:val="Font Style11"/>
    <w:basedOn w:val="858"/>
    <w:rPr>
      <w:rFonts w:ascii="Times New Roman" w:hAnsi="Times New Roman" w:cs="Times New Roman"/>
      <w:b/>
      <w:bCs/>
      <w:sz w:val="26"/>
      <w:szCs w:val="26"/>
    </w:rPr>
  </w:style>
  <w:style w:type="character" w:styleId="875" w:customStyle="1">
    <w:name w:val="Font Style12"/>
    <w:basedOn w:val="858"/>
    <w:rPr>
      <w:rFonts w:ascii="Times New Roman" w:hAnsi="Times New Roman" w:cs="Times New Roman"/>
      <w:sz w:val="26"/>
      <w:szCs w:val="26"/>
    </w:rPr>
  </w:style>
  <w:style w:type="character" w:styleId="876" w:customStyle="1">
    <w:name w:val="Основной текст + Полужирный"/>
    <w:basedOn w:val="858"/>
    <w:rPr>
      <w:rFonts w:ascii="Times New Roman" w:hAnsi="Times New Roman" w:cs="Times New Roman"/>
      <w:b/>
      <w:bCs/>
      <w:spacing w:val="0"/>
      <w:sz w:val="18"/>
      <w:szCs w:val="18"/>
    </w:rPr>
  </w:style>
  <w:style w:type="character" w:styleId="877" w:customStyle="1">
    <w:name w:val="Заголовок Знак"/>
    <w:basedOn w:val="858"/>
    <w:link w:val="861"/>
    <w:uiPriority w:val="99"/>
    <w:rPr>
      <w:rFonts w:cs="Times New Roman"/>
      <w:bCs/>
      <w:sz w:val="24"/>
    </w:rPr>
  </w:style>
  <w:style w:type="character" w:styleId="878" w:customStyle="1">
    <w:name w:val="Основной текст с отступом Знак"/>
    <w:basedOn w:val="858"/>
    <w:link w:val="866"/>
    <w:rPr>
      <w:rFonts w:cs="Times New Roman"/>
      <w:sz w:val="26"/>
    </w:rPr>
  </w:style>
  <w:style w:type="character" w:styleId="879" w:customStyle="1">
    <w:name w:val="Основной текст с отступом 2 Знак"/>
    <w:basedOn w:val="858"/>
    <w:link w:val="867"/>
    <w:rPr>
      <w:rFonts w:cs="Times New Roman"/>
      <w:sz w:val="28"/>
    </w:rPr>
  </w:style>
  <w:style w:type="character" w:styleId="880" w:customStyle="1">
    <w:name w:val="Основной текст 2 Знак"/>
    <w:link w:val="865"/>
    <w:rPr>
      <w:sz w:val="26"/>
    </w:rPr>
  </w:style>
  <w:style w:type="paragraph" w:styleId="881" w:customStyle="1">
    <w:name w:val="Без интервала1"/>
    <w:rPr>
      <w:rFonts w:ascii="Calibri" w:hAnsi="Calibri"/>
      <w:sz w:val="22"/>
      <w:szCs w:val="22"/>
      <w:lang w:eastAsia="en-US"/>
    </w:rPr>
  </w:style>
  <w:style w:type="paragraph" w:styleId="882" w:customStyle="1">
    <w:name w:val="Абзац списка1"/>
    <w:basedOn w:val="857"/>
    <w:pPr>
      <w:ind w:left="720"/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883" w:customStyle="1">
    <w:name w:val="s_13"/>
    <w:basedOn w:val="857"/>
    <w:pPr>
      <w:ind w:firstLine="720"/>
    </w:pPr>
  </w:style>
  <w:style w:type="paragraph" w:styleId="884" w:customStyle="1">
    <w:name w:val="Без интервала1"/>
    <w:rPr>
      <w:rFonts w:ascii="Calibri" w:hAnsi="Calibri"/>
      <w:sz w:val="22"/>
      <w:szCs w:val="22"/>
      <w:lang w:eastAsia="en-US"/>
    </w:rPr>
  </w:style>
  <w:style w:type="paragraph" w:styleId="885" w:customStyle="1">
    <w:name w:val="Без интервала2"/>
    <w:rPr>
      <w:rFonts w:ascii="Calibri" w:hAnsi="Calibri"/>
      <w:sz w:val="22"/>
      <w:szCs w:val="22"/>
      <w:lang w:eastAsia="en-US"/>
    </w:rPr>
  </w:style>
  <w:style w:type="paragraph" w:styleId="886">
    <w:name w:val="Body Text 3"/>
    <w:basedOn w:val="857"/>
    <w:link w:val="887"/>
    <w:pPr>
      <w:spacing w:after="120"/>
    </w:pPr>
    <w:rPr>
      <w:sz w:val="16"/>
      <w:szCs w:val="16"/>
    </w:rPr>
  </w:style>
  <w:style w:type="character" w:styleId="887" w:customStyle="1">
    <w:name w:val="Основной текст 3 Знак"/>
    <w:basedOn w:val="858"/>
    <w:link w:val="886"/>
    <w:rPr>
      <w:sz w:val="16"/>
      <w:szCs w:val="16"/>
    </w:rPr>
  </w:style>
  <w:style w:type="paragraph" w:styleId="888">
    <w:name w:val="List Paragraph"/>
    <w:basedOn w:val="857"/>
    <w:link w:val="894"/>
    <w:uiPriority w:val="34"/>
    <w:qFormat/>
    <w:pPr>
      <w:contextualSpacing/>
      <w:ind w:left="720"/>
    </w:pPr>
  </w:style>
  <w:style w:type="paragraph" w:styleId="889">
    <w:name w:val="Caption"/>
    <w:basedOn w:val="857"/>
    <w:next w:val="857"/>
    <w:link w:val="714"/>
    <w:semiHidden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table" w:styleId="890">
    <w:name w:val="Table Grid"/>
    <w:basedOn w:val="859"/>
    <w:uiPriority w:val="59"/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91" w:customStyle="1">
    <w:name w:val="Термин"/>
    <w:basedOn w:val="857"/>
    <w:pPr>
      <w:ind w:left="567"/>
      <w:jc w:val="both"/>
      <w:spacing w:line="100" w:lineRule="atLeast"/>
    </w:pPr>
    <w:rPr>
      <w:rFonts w:cs="Courier New"/>
      <w:sz w:val="26"/>
      <w:szCs w:val="20"/>
      <w:lang w:eastAsia="ar-SA"/>
    </w:rPr>
  </w:style>
  <w:style w:type="character" w:styleId="892" w:customStyle="1">
    <w:name w:val="WW8Num1z0"/>
  </w:style>
  <w:style w:type="character" w:styleId="893" w:customStyle="1">
    <w:name w:val="Основной шрифт абзаца1"/>
  </w:style>
  <w:style w:type="character" w:styleId="894" w:customStyle="1">
    <w:name w:val="Абзац списка Знак"/>
    <w:link w:val="888"/>
    <w:uiPriority w:val="34"/>
    <w:rPr>
      <w:sz w:val="24"/>
      <w:szCs w:val="24"/>
    </w:rPr>
  </w:style>
  <w:style w:type="character" w:styleId="895">
    <w:name w:val="Strong"/>
    <w:basedOn w:val="858"/>
    <w:uiPriority w:val="22"/>
    <w:qFormat/>
    <w:rPr>
      <w:b/>
      <w:bCs/>
    </w:rPr>
  </w:style>
  <w:style w:type="character" w:styleId="896">
    <w:name w:val="Emphasis"/>
    <w:uiPriority w:val="20"/>
    <w:qFormat/>
    <w:rPr>
      <w:rFonts w:cs="Times New Roman"/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hyperlink" Target="http://sberbank-ast.ru" TargetMode="External"/><Relationship Id="rId11" Type="http://schemas.openxmlformats.org/officeDocument/2006/relationships/hyperlink" Target="http://sberbank-ast.ru" TargetMode="External"/><Relationship Id="rId12" Type="http://schemas.openxmlformats.org/officeDocument/2006/relationships/hyperlink" Target="mailto:info@sberbank-ast.ru" TargetMode="External"/><Relationship Id="rId13" Type="http://schemas.openxmlformats.org/officeDocument/2006/relationships/hyperlink" Target="http://sberbank-ast.ru" TargetMode="External"/><Relationship Id="rId14" Type="http://schemas.openxmlformats.org/officeDocument/2006/relationships/hyperlink" Target="consultantplus://offline/ref=FC846897312E2BD4721B2384DBE8A58C3C2A4FAB97764E8E4F2A57D7AE78929A029A8F6F69D38F281FBB3293FE6B28B11F6A190F67i3U6J" TargetMode="External"/><Relationship Id="rId15" Type="http://schemas.openxmlformats.org/officeDocument/2006/relationships/hyperlink" Target="consultantplus://offline/ref=FC846897312E2BD4721B2384DBE8A58C3C2A4FAB97764E8E4F2A57D7AE78929A029A8F6F68DA8F281FBB3293FE6B28B11F6A190F67i3U6J" TargetMode="External"/><Relationship Id="rId16" Type="http://schemas.openxmlformats.org/officeDocument/2006/relationships/hyperlink" Target="consultantplus://offline/ref=FC846897312E2BD4721B2384DBE8A58C3C2A4FAB97764E8E4F2A57D7AE78929A029A8F6E61D88F281FBB3293FE6B28B11F6A190F67i3U6J" TargetMode="External"/><Relationship Id="rId17" Type="http://schemas.openxmlformats.org/officeDocument/2006/relationships/hyperlink" Target="consultantplus://offline/ref=FC846897312E2BD4721B2384DBE8A58C3C2A4FAB97764E8E4F2A57D7AE78929A029A8F6861DB867F4CF433CFB83E3BB21F6A1A0F7B362CD9iBU9J" TargetMode="External"/><Relationship Id="rId18" Type="http://schemas.openxmlformats.org/officeDocument/2006/relationships/hyperlink" Target="http://sberbank-ast.ru" TargetMode="External"/><Relationship Id="rId19" Type="http://schemas.openxmlformats.org/officeDocument/2006/relationships/hyperlink" Target="http://sberbank-ast.ru" TargetMode="External"/><Relationship Id="rId20" Type="http://schemas.openxmlformats.org/officeDocument/2006/relationships/hyperlink" Target="http://sberbank-ast.ru" TargetMode="External"/><Relationship Id="rId21" Type="http://schemas.openxmlformats.org/officeDocument/2006/relationships/hyperlink" Target="consultantplus://offline/ref=ACBC04675D45A7319E4896355D993A4826746042F3CB2CBB1E8429029F34B456AD46430754CDA9B6A2FD79FD81QEfFJ" TargetMode="External"/><Relationship Id="rId22" Type="http://schemas.openxmlformats.org/officeDocument/2006/relationships/hyperlink" Target="http://sberbank-ast.ru" TargetMode="External"/><Relationship Id="rId23" Type="http://schemas.openxmlformats.org/officeDocument/2006/relationships/hyperlink" Target="http://www.mio.irkobl.ru" TargetMode="External"/><Relationship Id="rId24" Type="http://schemas.openxmlformats.org/officeDocument/2006/relationships/hyperlink" Target="consultantplus://offline/ref=FC846897312E2BD4721B2384DBE8A58C3C2A4FAB97764E8E4F2A57D7AE78929A029A8F6F69D38F281FBB3293FE6B28B11F6A190F67i3U6J" TargetMode="External"/><Relationship Id="rId25" Type="http://schemas.openxmlformats.org/officeDocument/2006/relationships/hyperlink" Target="consultantplus://offline/ref=FC846897312E2BD4721B2384DBE8A58C3C2A4FAB97764E8E4F2A57D7AE78929A029A8F6F68DA8F281FBB3293FE6B28B11F6A190F67i3U6J" TargetMode="External"/><Relationship Id="rId26" Type="http://schemas.openxmlformats.org/officeDocument/2006/relationships/hyperlink" Target="consultantplus://offline/ref=FC846897312E2BD4721B2384DBE8A58C3C2A4FAB97764E8E4F2A57D7AE78929A029A8F6E61D88F281FBB3293FE6B28B11F6A190F67i3U6J" TargetMode="External"/><Relationship Id="rId27" Type="http://schemas.openxmlformats.org/officeDocument/2006/relationships/hyperlink" Target="consultantplus://offline/ref=FC846897312E2BD4721B2384DBE8A58C3C2A4FAB97764E8E4F2A57D7AE78929A029A8F6861DB867F4CF433CFB83E3BB21F6A1A0F7B362CD9iBU9J" TargetMode="External"/><Relationship Id="rId28" Type="http://schemas.openxmlformats.org/officeDocument/2006/relationships/hyperlink" Target="http://www.mio.irkobl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5D03B6-426D-4351-B8BA-AE32053AD6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Организация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manueva</cp:lastModifiedBy>
  <cp:revision>21</cp:revision>
  <dcterms:created xsi:type="dcterms:W3CDTF">2025-08-05T03:08:00Z</dcterms:created>
  <dcterms:modified xsi:type="dcterms:W3CDTF">2025-12-25T01:56:10Z</dcterms:modified>
</cp:coreProperties>
</file>