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before="60" w:after="10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ПРОТОКОЛ </w:t>
      </w:r>
      <w:r>
        <w:rPr>
          <w:rFonts w:ascii="Times New Roman" w:hAnsi="Times New Roman" w:cs="Times New Roman"/>
          <w:sz w:val="26"/>
          <w:szCs w:val="26"/>
        </w:rPr>
        <w:t xml:space="preserve">№5</w:t>
      </w:r>
      <w:r>
        <w:rPr>
          <w:rFonts w:ascii="Times New Roman" w:hAnsi="Times New Roman" w:cs="Times New Roman"/>
          <w:sz w:val="26"/>
          <w:szCs w:val="26"/>
        </w:rPr>
        <w:t xml:space="preserve">- АЗ/26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рассмотрения заявок на участие в аукционе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в электронной форме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по извещению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№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2200014719000000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0250</w:t>
      </w:r>
      <w:r>
        <w:rPr>
          <w:rFonts w:ascii="Times New Roman" w:hAnsi="Times New Roman" w:cs="Times New Roman"/>
          <w:b/>
          <w:bCs/>
          <w:sz w:val="26"/>
          <w:szCs w:val="26"/>
        </w:rPr>
      </w:r>
      <w:r>
        <w:rPr>
          <w:rFonts w:ascii="Times New Roman" w:hAnsi="Times New Roman" w:cs="Times New Roman"/>
          <w:b/>
          <w:bCs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г. Иркутск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28.01.2026 </w:t>
      </w:r>
      <w:r>
        <w:rPr>
          <w:rFonts w:ascii="Times New Roman" w:hAnsi="Times New Roman" w:cs="Times New Roman"/>
          <w:sz w:val="26"/>
          <w:szCs w:val="26"/>
        </w:rPr>
        <w:t xml:space="preserve">г.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18"/>
          <w:szCs w:val="26"/>
        </w:rPr>
      </w:pPr>
      <w:r>
        <w:rPr>
          <w:rFonts w:ascii="Times New Roman" w:hAnsi="Times New Roman" w:cs="Times New Roman"/>
          <w:sz w:val="18"/>
          <w:szCs w:val="26"/>
        </w:rPr>
      </w:r>
      <w:r>
        <w:rPr>
          <w:rFonts w:ascii="Times New Roman" w:hAnsi="Times New Roman" w:cs="Times New Roman"/>
          <w:sz w:val="18"/>
          <w:szCs w:val="26"/>
        </w:rPr>
      </w:r>
      <w:r>
        <w:rPr>
          <w:rFonts w:ascii="Times New Roman" w:hAnsi="Times New Roman" w:cs="Times New Roman"/>
          <w:sz w:val="18"/>
          <w:szCs w:val="26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Аукционная комиссия областного государственного казенного учреждения “Фонд имущества Иркутской области” </w:t>
      </w:r>
      <w:r>
        <w:rPr>
          <w:rFonts w:ascii="Times New Roman" w:hAnsi="Times New Roman" w:cs="Times New Roman"/>
          <w:sz w:val="26"/>
          <w:szCs w:val="26"/>
        </w:rPr>
        <w:t xml:space="preserve">28 октября 2026</w:t>
      </w:r>
      <w:r>
        <w:rPr>
          <w:rFonts w:ascii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провела процедуру рассмотрения заявок</w:t>
      </w:r>
      <w:r>
        <w:rPr>
          <w:rFonts w:ascii="Times New Roman" w:hAnsi="Times New Roman" w:cs="Times New Roman"/>
          <w:sz w:val="26"/>
          <w:szCs w:val="26"/>
        </w:rPr>
        <w:t xml:space="preserve"> на участие в аукционе </w:t>
      </w:r>
      <w:r>
        <w:rPr>
          <w:rFonts w:ascii="Times New Roman" w:hAnsi="Times New Roman" w:cs="Times New Roman"/>
          <w:sz w:val="26"/>
          <w:szCs w:val="26"/>
        </w:rPr>
        <w:t xml:space="preserve">по адресу: г. Иркутск, ул. Партизанская, д.1,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оф.</w:t>
      </w:r>
      <w:r>
        <w:rPr>
          <w:rFonts w:ascii="Times New Roman" w:hAnsi="Times New Roman" w:cs="Times New Roman"/>
          <w:sz w:val="26"/>
          <w:szCs w:val="26"/>
        </w:rPr>
        <w:t xml:space="preserve"> 49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left="57"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Рассмотрение заявок на участие в открытом </w:t>
      </w:r>
      <w:r>
        <w:rPr>
          <w:rFonts w:ascii="Times New Roman" w:hAnsi="Times New Roman" w:cs="Times New Roman"/>
          <w:sz w:val="26"/>
          <w:szCs w:val="26"/>
        </w:rPr>
        <w:t xml:space="preserve">электрон</w:t>
      </w:r>
      <w:r>
        <w:rPr>
          <w:rFonts w:ascii="Times New Roman" w:hAnsi="Times New Roman" w:cs="Times New Roman"/>
          <w:sz w:val="26"/>
          <w:szCs w:val="26"/>
        </w:rPr>
        <w:t xml:space="preserve">н</w:t>
      </w:r>
      <w:r>
        <w:rPr>
          <w:rFonts w:ascii="Times New Roman" w:hAnsi="Times New Roman" w:cs="Times New Roman"/>
          <w:sz w:val="26"/>
          <w:szCs w:val="26"/>
        </w:rPr>
        <w:t xml:space="preserve">ом </w:t>
      </w:r>
      <w:r>
        <w:rPr>
          <w:rFonts w:ascii="Times New Roman" w:hAnsi="Times New Roman" w:cs="Times New Roman"/>
          <w:sz w:val="26"/>
          <w:szCs w:val="26"/>
        </w:rPr>
        <w:t xml:space="preserve">аукционе проводилось комиссией, в следующем составе: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67"/>
        <w:numPr>
          <w:ilvl w:val="0"/>
          <w:numId w:val="13"/>
        </w:num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Председатель комиссии – Обухов Алексей Геннадьевич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67"/>
        <w:numPr>
          <w:ilvl w:val="0"/>
          <w:numId w:val="13"/>
        </w:num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Заместитель председателя комиссии – Черепанова Светлана Владимировна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67"/>
        <w:numPr>
          <w:ilvl w:val="0"/>
          <w:numId w:val="13"/>
        </w:num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Член комиссии – </w:t>
      </w:r>
      <w:r>
        <w:rPr>
          <w:rFonts w:ascii="Times New Roman" w:hAnsi="Times New Roman" w:cs="Times New Roman"/>
          <w:sz w:val="26"/>
          <w:szCs w:val="26"/>
        </w:rPr>
        <w:t xml:space="preserve">Орлинская Марина Васильевна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67"/>
        <w:numPr>
          <w:ilvl w:val="0"/>
          <w:numId w:val="13"/>
        </w:num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  <w:t xml:space="preserve">Секретарь комиссии – Мануева Арюна Юрьевна  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left="57" w:firstLine="714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Все</w:t>
      </w:r>
      <w:r>
        <w:rPr>
          <w:rFonts w:ascii="Times New Roman" w:hAnsi="Times New Roman" w:cs="Times New Roman"/>
          <w:sz w:val="26"/>
          <w:szCs w:val="26"/>
        </w:rPr>
        <w:t xml:space="preserve">го на заседании присутствовало 4</w:t>
      </w:r>
      <w:r>
        <w:rPr>
          <w:rFonts w:ascii="Times New Roman" w:hAnsi="Times New Roman" w:cs="Times New Roman"/>
          <w:sz w:val="26"/>
          <w:szCs w:val="26"/>
        </w:rPr>
        <w:t xml:space="preserve"> член</w:t>
      </w:r>
      <w:r>
        <w:rPr>
          <w:rFonts w:ascii="Times New Roman" w:hAnsi="Times New Roman" w:cs="Times New Roman"/>
          <w:sz w:val="26"/>
          <w:szCs w:val="26"/>
        </w:rPr>
        <w:t xml:space="preserve">а</w:t>
      </w:r>
      <w:r>
        <w:rPr>
          <w:rFonts w:ascii="Times New Roman" w:hAnsi="Times New Roman" w:cs="Times New Roman"/>
          <w:sz w:val="26"/>
          <w:szCs w:val="26"/>
        </w:rPr>
        <w:t xml:space="preserve"> комиссии, что составило </w:t>
      </w:r>
      <w:r>
        <w:rPr>
          <w:rFonts w:ascii="Times New Roman" w:hAnsi="Times New Roman" w:cs="Times New Roman"/>
          <w:sz w:val="26"/>
          <w:szCs w:val="26"/>
        </w:rPr>
        <w:t xml:space="preserve">67</w:t>
      </w:r>
      <w:r>
        <w:rPr>
          <w:rFonts w:ascii="Times New Roman" w:hAnsi="Times New Roman" w:cs="Times New Roman"/>
          <w:sz w:val="26"/>
          <w:szCs w:val="26"/>
        </w:rPr>
        <w:t xml:space="preserve"> % от общего количества членов комиссии. Кворум имеется, заседание правомочно.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14"/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14"/>
        <w:jc w:val="both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Извещение о проведении настоящего </w:t>
      </w:r>
      <w:r>
        <w:rPr>
          <w:rFonts w:ascii="Times New Roman" w:hAnsi="Times New Roman" w:cs="Times New Roman"/>
          <w:sz w:val="26"/>
          <w:szCs w:val="26"/>
        </w:rPr>
        <w:t xml:space="preserve">электронного </w:t>
      </w:r>
      <w:r>
        <w:rPr>
          <w:rFonts w:ascii="Times New Roman" w:hAnsi="Times New Roman" w:cs="Times New Roman"/>
          <w:sz w:val="26"/>
          <w:szCs w:val="26"/>
        </w:rPr>
        <w:t xml:space="preserve">аукциона было размещено</w:t>
      </w:r>
      <w:r>
        <w:rPr>
          <w:rFonts w:ascii="Times New Roman" w:hAnsi="Times New Roman" w:cs="Times New Roman"/>
          <w:sz w:val="26"/>
          <w:szCs w:val="26"/>
        </w:rPr>
        <w:t xml:space="preserve"> 26.12</w:t>
      </w:r>
      <w:r>
        <w:rPr>
          <w:rFonts w:ascii="Times New Roman" w:hAnsi="Times New Roman" w:cs="Times New Roman"/>
          <w:sz w:val="26"/>
          <w:szCs w:val="26"/>
        </w:rPr>
        <w:t xml:space="preserve">.2025</w:t>
      </w:r>
      <w:r>
        <w:rPr>
          <w:rFonts w:ascii="Times New Roman" w:hAnsi="Times New Roman" w:cs="Times New Roman"/>
          <w:sz w:val="26"/>
          <w:szCs w:val="26"/>
        </w:rPr>
        <w:t xml:space="preserve"> г. №</w:t>
      </w:r>
      <w:r>
        <w:rPr>
          <w:rFonts w:ascii="Times New Roman" w:hAnsi="Times New Roman" w:cs="Times New Roman"/>
          <w:sz w:val="26"/>
          <w:szCs w:val="26"/>
        </w:rPr>
        <w:t xml:space="preserve">2</w:t>
      </w:r>
      <w:r>
        <w:rPr>
          <w:rFonts w:ascii="Times New Roman" w:hAnsi="Times New Roman" w:cs="Times New Roman"/>
          <w:sz w:val="26"/>
          <w:szCs w:val="26"/>
        </w:rPr>
        <w:t xml:space="preserve">20001471900000</w:t>
      </w:r>
      <w:r>
        <w:rPr>
          <w:rFonts w:ascii="Times New Roman" w:hAnsi="Times New Roman" w:cs="Times New Roman"/>
          <w:sz w:val="26"/>
          <w:szCs w:val="26"/>
        </w:rPr>
        <w:t xml:space="preserve">00</w:t>
      </w:r>
      <w:r>
        <w:rPr>
          <w:rFonts w:ascii="Times New Roman" w:hAnsi="Times New Roman" w:cs="Times New Roman"/>
          <w:sz w:val="26"/>
          <w:szCs w:val="26"/>
        </w:rPr>
        <w:t xml:space="preserve">2</w:t>
      </w:r>
      <w:r>
        <w:rPr>
          <w:rFonts w:ascii="Times New Roman" w:hAnsi="Times New Roman" w:cs="Times New Roman"/>
          <w:sz w:val="26"/>
          <w:szCs w:val="26"/>
        </w:rPr>
        <w:t xml:space="preserve">50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на официальном сайте Российской Федерации </w:t>
      </w:r>
      <w:hyperlink r:id="rId10" w:tooltip="http://www.torgi.gov.ru" w:history="1">
        <w:r>
          <w:rPr>
            <w:rStyle w:val="864"/>
            <w:rFonts w:ascii="Times New Roman" w:hAnsi="Times New Roman" w:cs="Times New Roman"/>
            <w:color w:val="auto"/>
            <w:sz w:val="26"/>
            <w:szCs w:val="26"/>
            <w:lang w:val="en-US"/>
          </w:rPr>
          <w:t xml:space="preserve">www</w:t>
        </w:r>
        <w:r>
          <w:rPr>
            <w:rStyle w:val="864"/>
            <w:rFonts w:ascii="Times New Roman" w:hAnsi="Times New Roman" w:cs="Times New Roman"/>
            <w:color w:val="auto"/>
            <w:sz w:val="26"/>
            <w:szCs w:val="26"/>
          </w:rPr>
          <w:t xml:space="preserve">.</w:t>
        </w:r>
        <w:r>
          <w:rPr>
            <w:rStyle w:val="864"/>
            <w:rFonts w:ascii="Times New Roman" w:hAnsi="Times New Roman" w:cs="Times New Roman"/>
            <w:color w:val="auto"/>
            <w:sz w:val="26"/>
            <w:szCs w:val="26"/>
            <w:lang w:val="en-US"/>
          </w:rPr>
          <w:t xml:space="preserve">torgi</w:t>
        </w:r>
        <w:r>
          <w:rPr>
            <w:rStyle w:val="864"/>
            <w:rFonts w:ascii="Times New Roman" w:hAnsi="Times New Roman" w:cs="Times New Roman"/>
            <w:color w:val="auto"/>
            <w:sz w:val="26"/>
            <w:szCs w:val="26"/>
          </w:rPr>
          <w:t xml:space="preserve">.</w:t>
        </w:r>
        <w:r>
          <w:rPr>
            <w:rStyle w:val="864"/>
            <w:rFonts w:ascii="Times New Roman" w:hAnsi="Times New Roman" w:cs="Times New Roman"/>
            <w:color w:val="auto"/>
            <w:sz w:val="26"/>
            <w:szCs w:val="26"/>
            <w:lang w:val="en-US"/>
          </w:rPr>
          <w:t xml:space="preserve">gov</w:t>
        </w:r>
        <w:r>
          <w:rPr>
            <w:rStyle w:val="864"/>
            <w:rFonts w:ascii="Times New Roman" w:hAnsi="Times New Roman" w:cs="Times New Roman"/>
            <w:color w:val="auto"/>
            <w:sz w:val="26"/>
            <w:szCs w:val="26"/>
          </w:rPr>
          <w:t xml:space="preserve">.</w:t>
        </w:r>
        <w:r>
          <w:rPr>
            <w:rStyle w:val="864"/>
            <w:rFonts w:ascii="Times New Roman" w:hAnsi="Times New Roman" w:cs="Times New Roman"/>
            <w:color w:val="auto"/>
            <w:sz w:val="26"/>
            <w:szCs w:val="26"/>
            <w:lang w:val="en-US"/>
          </w:rPr>
          <w:t xml:space="preserve">ru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(ГИС Торги)</w:t>
      </w:r>
      <w:r>
        <w:rPr>
          <w:rFonts w:ascii="Times New Roman" w:hAnsi="Times New Roman" w:cs="Times New Roman"/>
          <w:sz w:val="26"/>
          <w:szCs w:val="26"/>
        </w:rPr>
        <w:t xml:space="preserve">,</w:t>
      </w:r>
      <w:r>
        <w:rPr>
          <w:rFonts w:ascii="Times New Roman" w:hAnsi="Times New Roman" w:cs="Times New Roman"/>
          <w:sz w:val="26"/>
          <w:szCs w:val="26"/>
        </w:rPr>
        <w:t xml:space="preserve"> в </w:t>
      </w:r>
      <w:r>
        <w:rPr>
          <w:rFonts w:ascii="Times New Roman" w:hAnsi="Times New Roman" w:cs="Times New Roman"/>
          <w:sz w:val="26"/>
          <w:szCs w:val="26"/>
        </w:rPr>
        <w:t xml:space="preserve">информационно - телекоммуникационной  </w:t>
      </w:r>
      <w:r>
        <w:rPr>
          <w:rFonts w:ascii="Times New Roman" w:hAnsi="Times New Roman" w:cs="Times New Roman"/>
          <w:sz w:val="26"/>
          <w:szCs w:val="26"/>
        </w:rPr>
        <w:t xml:space="preserve">сети «Интернет», </w:t>
      </w:r>
      <w:r>
        <w:rPr>
          <w:rFonts w:ascii="Times New Roman" w:hAnsi="Times New Roman" w:cs="Times New Roman"/>
          <w:sz w:val="26"/>
          <w:szCs w:val="26"/>
        </w:rPr>
        <w:t xml:space="preserve">официальном сайте</w:t>
      </w:r>
      <w:r>
        <w:rPr>
          <w:rFonts w:ascii="Times New Roman" w:hAnsi="Times New Roman" w:cs="Times New Roman"/>
          <w:sz w:val="26"/>
          <w:szCs w:val="26"/>
        </w:rPr>
        <w:t xml:space="preserve"> торговой</w:t>
      </w:r>
      <w:r>
        <w:rPr>
          <w:rFonts w:ascii="Times New Roman" w:hAnsi="Times New Roman" w:cs="Times New Roman"/>
          <w:sz w:val="26"/>
          <w:szCs w:val="26"/>
        </w:rPr>
        <w:t xml:space="preserve"> площадки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utp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.s</w:t>
      </w:r>
      <w:r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berbank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-</w:t>
      </w:r>
      <w:r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ast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.</w:t>
      </w:r>
      <w:r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ru</w:t>
      </w:r>
      <w:r>
        <w:rPr>
          <w:rStyle w:val="864"/>
          <w:rFonts w:ascii="Times New Roman" w:hAnsi="Times New Roman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(</w:t>
      </w:r>
      <w:r>
        <w:rPr>
          <w:rFonts w:ascii="Times New Roman" w:hAnsi="Times New Roman" w:cs="Times New Roman"/>
          <w:sz w:val="26"/>
          <w:szCs w:val="26"/>
        </w:rPr>
        <w:t xml:space="preserve">АО «Сбербанк-АСТ»</w:t>
      </w:r>
      <w:r>
        <w:rPr>
          <w:rFonts w:ascii="Times New Roman" w:hAnsi="Times New Roman" w:cs="Times New Roman"/>
          <w:sz w:val="26"/>
          <w:szCs w:val="26"/>
        </w:rPr>
        <w:t xml:space="preserve">)</w:t>
      </w:r>
      <w:r>
        <w:rPr>
          <w:rFonts w:ascii="Times New Roman" w:hAnsi="Times New Roman" w:cs="Times New Roman"/>
          <w:sz w:val="26"/>
          <w:szCs w:val="26"/>
        </w:rPr>
        <w:t xml:space="preserve">,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сайте </w:t>
      </w:r>
      <w:r>
        <w:rPr>
          <w:rFonts w:ascii="Times New Roman" w:hAnsi="Times New Roman" w:cs="Times New Roman"/>
          <w:bCs/>
          <w:sz w:val="26"/>
          <w:szCs w:val="26"/>
        </w:rPr>
        <w:t xml:space="preserve">организатора аукциона www.irkfi. </w:t>
      </w:r>
      <w:r>
        <w:rPr>
          <w:rFonts w:ascii="Times New Roman" w:hAnsi="Times New Roman" w:cs="Times New Roman"/>
          <w:bCs/>
          <w:sz w:val="26"/>
          <w:szCs w:val="26"/>
        </w:rPr>
        <w:t xml:space="preserve">ru</w:t>
      </w:r>
      <w:r>
        <w:rPr>
          <w:rStyle w:val="864"/>
          <w:rFonts w:ascii="Times New Roman" w:hAnsi="Times New Roman" w:cs="Times New Roman"/>
          <w:color w:val="auto"/>
          <w:sz w:val="26"/>
          <w:szCs w:val="26"/>
        </w:rPr>
        <w:t xml:space="preserve">.</w:t>
      </w:r>
      <w:r>
        <w:rPr>
          <w:rFonts w:ascii="Times New Roman" w:hAnsi="Times New Roman" w:cs="Times New Roman"/>
          <w:bCs/>
          <w:sz w:val="26"/>
          <w:szCs w:val="26"/>
        </w:rPr>
      </w:r>
      <w:r>
        <w:rPr>
          <w:rFonts w:ascii="Times New Roman" w:hAnsi="Times New Roman" w:cs="Times New Roman"/>
          <w:b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4.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Предмет электронного аукциона: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з</w:t>
      </w:r>
      <w:r>
        <w:rPr>
          <w:rFonts w:ascii="Times New Roman" w:hAnsi="Times New Roman" w:cs="Times New Roman"/>
          <w:sz w:val="26"/>
          <w:szCs w:val="26"/>
        </w:rPr>
        <w:t xml:space="preserve">емельный участок из земель населённых пунктов площадью 2000 кв.м с кадастровым номером 38:06:080604:1056, адрес: Российская федерация, Иркутская область, муниципальный район Иркутский, сельское поселение Ревякинское, деревня Черемушка,  ул. 2-я Дорожная, з</w:t>
      </w:r>
      <w:r>
        <w:rPr>
          <w:rFonts w:ascii="Times New Roman" w:hAnsi="Times New Roman" w:cs="Times New Roman"/>
          <w:sz w:val="26"/>
          <w:szCs w:val="26"/>
        </w:rPr>
        <w:t xml:space="preserve">емельный участок 24.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Право на земельный участок: </w:t>
      </w:r>
      <w:r>
        <w:rPr>
          <w:rFonts w:ascii="Times New Roman" w:hAnsi="Times New Roman" w:cs="Times New Roman"/>
          <w:bCs/>
          <w:sz w:val="26"/>
          <w:szCs w:val="26"/>
        </w:rPr>
        <w:t xml:space="preserve">государственная собственность (право собственности не разграничено).</w:t>
      </w:r>
      <w:r>
        <w:rPr>
          <w:rFonts w:ascii="Times New Roman" w:hAnsi="Times New Roman" w:cs="Times New Roman"/>
          <w:bCs/>
          <w:sz w:val="26"/>
          <w:szCs w:val="26"/>
        </w:rPr>
      </w:r>
      <w:r>
        <w:rPr>
          <w:rFonts w:ascii="Times New Roman" w:hAnsi="Times New Roman" w:cs="Times New Roman"/>
          <w:b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bCs/>
          <w:iCs/>
          <w:sz w:val="26"/>
          <w:szCs w:val="26"/>
        </w:rPr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ab/>
        <w:t xml:space="preserve">Категория земель: </w:t>
      </w:r>
      <w:r>
        <w:rPr>
          <w:rFonts w:ascii="Times New Roman" w:hAnsi="Times New Roman" w:cs="Times New Roman"/>
          <w:bCs/>
          <w:iCs/>
          <w:sz w:val="26"/>
          <w:szCs w:val="26"/>
        </w:rPr>
        <w:t xml:space="preserve">земли населённых пунктов.</w:t>
      </w:r>
      <w:r>
        <w:rPr>
          <w:rFonts w:ascii="Times New Roman" w:hAnsi="Times New Roman" w:cs="Times New Roman"/>
          <w:bCs/>
          <w:iCs/>
          <w:sz w:val="26"/>
          <w:szCs w:val="26"/>
        </w:rPr>
      </w:r>
      <w:r>
        <w:rPr>
          <w:rFonts w:ascii="Times New Roman" w:hAnsi="Times New Roman" w:cs="Times New Roman"/>
          <w:bCs/>
          <w:i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Основные виды разрешенного использования: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для ведения личного подсобного хозяйства.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  <w:t xml:space="preserve">Максимально и минимально допустимые параметры разрешенного строительства: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 в соответствии с правилами землепользования и застройки Ревякинского муниципального образования земельный участок расположен в зоне застройки индивидуальными жилыми домами.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/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  <w:t xml:space="preserve">Технические условия подключения объекта капитального строительства к сетям, срок действия технических условий, плата за подключение: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/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cs="Times New Roman"/>
          <w:sz w:val="26"/>
          <w:szCs w:val="26"/>
          <w:highlight w:val="none"/>
        </w:rPr>
        <w:t xml:space="preserve">- Письмо  филиала  АО  «ИЭСК»  «Восточные  электрические  сети»«О технологическом присоединении» от 04.07.2024 № 6679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/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cs="Times New Roman"/>
          <w:sz w:val="26"/>
          <w:szCs w:val="26"/>
          <w:highlight w:val="none"/>
        </w:rPr>
        <w:t xml:space="preserve">-Письмо ООО «Южнобайкальское» от 26.06.2024 № 341/24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/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cs="Times New Roman"/>
          <w:sz w:val="26"/>
          <w:szCs w:val="26"/>
          <w:highlight w:val="none"/>
        </w:rPr>
        <w:t xml:space="preserve">По информации филиала АО «ИЭСК» «Восточные электрические сети» возможность технологического присоединения к сетям филиала АО «ИЭСК» «Восточные электрические сети» отсутствует.               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/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cs="Times New Roman"/>
          <w:sz w:val="26"/>
          <w:szCs w:val="26"/>
          <w:highlight w:val="none"/>
        </w:rPr>
        <w:t xml:space="preserve">Сети централизованного водоснабжения и водоотведения отсутствуют.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/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  <w:t xml:space="preserve">Дополнительная информация: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 На часть земельного участка установлен публичный сервитут АО «Иркутская электросетевая компания».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/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cs="Times New Roman"/>
          <w:sz w:val="26"/>
          <w:szCs w:val="26"/>
          <w:highlight w:val="none"/>
        </w:rPr>
        <w:t xml:space="preserve">Требуется организация подъездных путей к земельному участку.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/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  <w:t xml:space="preserve">Срок действия договора аренды: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 20 лет.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/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  <w:t xml:space="preserve">Начальный размер годовой арендной платы: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 42 000 (Сорок две тысячи) рублей.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/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  <w:t xml:space="preserve">Шаг аукциона: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 3% от начального размера годовой арендной платы в сумме 1 260 (Одна тысяча двести шестьдесят) рублей.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/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  <w:t xml:space="preserve">Размер задатка: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 100 % начального размера годовой арендной платы в сумме  42 000 (Сорок две тысячи) рублей.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/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4.1. Комиссией рассмотрены заявки на участие в электронном аукционе: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tbl>
      <w:tblPr>
        <w:tblpPr w:horzAnchor="page" w:tblpX="1122" w:vertAnchor="page" w:tblpY="2532" w:leftFromText="180" w:topFromText="0" w:rightFromText="180" w:bottomFromText="0"/>
        <w:tblW w:w="4983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5"/>
        <w:gridCol w:w="1615"/>
        <w:gridCol w:w="2842"/>
        <w:gridCol w:w="1815"/>
        <w:gridCol w:w="1435"/>
        <w:gridCol w:w="1484"/>
      </w:tblGrid>
      <w:tr>
        <w:tblPrEx/>
        <w:trPr>
          <w:trHeight w:val="1551"/>
          <w:tblHeader/>
        </w:trPr>
        <w:tc>
          <w:tcPr>
            <w:tcW w:w="515" w:type="dxa"/>
            <w:vAlign w:val="center"/>
            <w:textDirection w:val="lrTb"/>
            <w:noWrap w:val="false"/>
          </w:tcPr>
          <w:p>
            <w:pPr>
              <w:ind w:left="-426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№ п/п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W w:w="161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 xml:space="preserve">Порядковый номер заявки, присвоенный на электронной площадке, дата, время</w:t>
            </w:r>
            <w:r>
              <w:rPr>
                <w:rFonts w:ascii="Times New Roman" w:hAnsi="Times New Roman" w:cs="Times New Roman"/>
                <w:bCs/>
                <w:szCs w:val="24"/>
              </w:rPr>
              <w:t xml:space="preserve">(МСК+)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84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 xml:space="preserve">ФИО, наименование заявителя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 xml:space="preserve">аукциона/ ИНН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r>
          </w:p>
        </w:tc>
        <w:tc>
          <w:tcPr>
            <w:tcW w:w="181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Сведения о внесении задатка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4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 xml:space="preserve">Решение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r>
          </w:p>
        </w:tc>
        <w:tc>
          <w:tcPr>
            <w:tcW w:w="14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Причина отказа в допуске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</w:tr>
      <w:tr>
        <w:tblPrEx/>
        <w:trPr>
          <w:trHeight w:val="1155"/>
        </w:trPr>
        <w:tc>
          <w:tcPr>
            <w:tcW w:w="51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615" w:type="dxa"/>
            <w:vAlign w:val="center"/>
            <w:textDirection w:val="lrTb"/>
            <w:noWrap w:val="false"/>
          </w:tcPr>
          <w:p>
            <w:pPr>
              <w:pStyle w:val="874"/>
              <w:ind w:left="50"/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smallCaps w:val="0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3543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smallCaps w:val="0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smallCaps w:val="0"/>
                <w:color w:val="000000"/>
                <w:sz w:val="22"/>
                <w:szCs w:val="22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23.01.2026 13:21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</w:r>
          </w:p>
        </w:tc>
        <w:tc>
          <w:tcPr>
            <w:tcW w:w="2842" w:type="dxa"/>
            <w:vAlign w:val="center"/>
            <w:textDirection w:val="lrTb"/>
            <w:noWrap w:val="false"/>
          </w:tcPr>
          <w:p>
            <w:pPr>
              <w:pStyle w:val="874"/>
              <w:ind w:left="52" w:right="141"/>
              <w:jc w:val="center"/>
              <w:spacing w:line="273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Односуменко Александр Валерьевич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382706491748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 (в лице Куклиной Екатерины Александровны  на основании доверенности № 38 АА 4713839 / 673200546629)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81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42 000.00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4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Допущен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484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</w:tbl>
    <w:p>
      <w:pPr>
        <w:contextualSpacing/>
        <w:ind w:firstLine="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contextualSpacing/>
        <w:ind w:firstLine="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contextualSpacing/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</w:rPr>
        <w:t xml:space="preserve">4</w:t>
      </w:r>
      <w:r>
        <w:rPr>
          <w:rFonts w:ascii="Times New Roman" w:hAnsi="Times New Roman" w:cs="Times New Roman"/>
          <w:sz w:val="26"/>
          <w:szCs w:val="26"/>
        </w:rPr>
        <w:t xml:space="preserve">.2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  <w:t xml:space="preserve">Решение комиссии: допущены к участию в электронном аукционе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следующие заявители: 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pStyle w:val="867"/>
        <w:numPr>
          <w:ilvl w:val="0"/>
          <w:numId w:val="16"/>
        </w:numPr>
        <w:contextualSpacing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  <w:t xml:space="preserve">Односуменко Александр Валерьевич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contextualSpacing/>
        <w:ind w:left="1429" w:firstLine="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contextualSpacing/>
        <w:ind w:left="0" w:right="0" w:firstLine="709"/>
        <w:jc w:val="both"/>
        <w:spacing w:after="0" w:line="240" w:lineRule="auto"/>
        <w:widowControl w:val="off"/>
      </w:pPr>
      <w:r>
        <w:rPr>
          <w:rFonts w:ascii="Times New Roman" w:hAnsi="Times New Roman" w:cs="Times New Roman"/>
          <w:sz w:val="26"/>
          <w:szCs w:val="26"/>
          <w:highlight w:val="none"/>
        </w:rPr>
        <w:t xml:space="preserve">В связи с тем, что на участие в аукционе подана только одна заявка, аукцион признать не состоявшимся и заключить договор аренды земельного участка по начальной цене предмета аукциона с единственным заявителем, подавшим заявку на участие в аукционе.</w:t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contextualSpacing/>
        <w:ind w:left="0" w:right="0" w:firstLine="709"/>
        <w:jc w:val="both"/>
        <w:spacing w:after="0" w:line="240" w:lineRule="auto"/>
        <w:widowControl w:val="off"/>
      </w:pPr>
      <w:r>
        <w:rPr>
          <w:rFonts w:ascii="Times New Roman" w:hAnsi="Times New Roman" w:cs="Times New Roman"/>
          <w:sz w:val="26"/>
          <w:szCs w:val="26"/>
          <w:highlight w:val="none"/>
        </w:rPr>
        <w:t xml:space="preserve">Протокол о рассмотрении заявок на участие в аукционе является основанием для заключения договора договор аренды земельного участка с единственным заявителем на участие в аукционе.</w:t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contextualSpacing/>
        <w:ind w:left="0" w:right="0" w:firstLine="709"/>
        <w:jc w:val="both"/>
        <w:spacing w:after="0" w:line="240" w:lineRule="auto"/>
        <w:widowControl w:val="off"/>
      </w:pPr>
      <w:r>
        <w:rPr>
          <w:rFonts w:ascii="Times New Roman" w:hAnsi="Times New Roman" w:cs="Times New Roman"/>
          <w:sz w:val="26"/>
          <w:szCs w:val="26"/>
          <w:highlight w:val="none"/>
        </w:rPr>
        <w:t xml:space="preserve">Задаток, внесенный заявителем на участие в аукционе, засчитывается в счет арендной платы приобретаемого земельного.</w:t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contextualSpacing/>
        <w:ind w:left="0" w:right="0" w:firstLine="709"/>
        <w:jc w:val="both"/>
        <w:spacing w:after="0" w:line="240" w:lineRule="auto"/>
        <w:widowControl w:val="off"/>
      </w:pPr>
      <w:r>
        <w:rPr>
          <w:rFonts w:ascii="Times New Roman" w:hAnsi="Times New Roman" w:cs="Times New Roman"/>
          <w:sz w:val="26"/>
          <w:szCs w:val="26"/>
          <w:highlight w:val="none"/>
        </w:rPr>
        <w:t xml:space="preserve">При уклонении или отказе единственного заявителя от заключения в установленный срок договора, задаток ему не возвращается, и он утрачивает право на заключение указанного договора.</w:t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contextualSpacing/>
        <w:ind w:left="0" w:right="0"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  <w:t xml:space="preserve">Единственный заявитель на участие в аукционе обязан заключить договор аренды земельного участка с министерством имущественных отношений Иркутской области не ранее 10 дней со дня размещения информации о результатах электронного аукциона на официальном сайте 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торгов РФ и не позднее 10 рабочих дней со дня со дня направления заявителю на участие в аукционе проекта договора. Осуществить государственную регистрацию перехода права собственности на земельный участок или договора аренды земельного участка в порядке, ус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тановленном законодательством Российской Федерации. Договор заключается в электронной форме 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  <w:r/>
      <w:r/>
      <w:r>
        <w:rPr>
          <w:rFonts w:ascii="Times New Roman" w:hAnsi="Times New Roman" w:cs="Times New Roman"/>
          <w:sz w:val="26"/>
          <w:szCs w:val="26"/>
        </w:rPr>
      </w:r>
    </w:p>
    <w:p>
      <w:pPr>
        <w:ind w:left="0" w:right="0" w:firstLine="567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Н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астоящий протокол размещен в сети «Интернет» на официальном сайте Российской Федерации www.torgi.gov.ru (ГИС Торги), на сайте электронной торговой площадки АО «Сбербанк-АСТ» utp.sberbank-ast.ru, официальном сайте уполномоченного органа www.mio.irkobl.ru  и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на сайте организатора аукциона www.irkfi.ru.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contextualSpacing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contextualSpacing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contextualSpacing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Председатель комиссии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1. Обухов Алексей Геннадьевич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  <w:p>
            <w:pPr>
              <w:jc w:val="both"/>
              <w:spacing w:before="120" w:after="6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Замес</w:t>
            </w:r>
            <w:bookmarkStart w:id="0" w:name="_GoBack"/>
            <w:r/>
            <w:bookmarkEnd w:id="0"/>
            <w:r>
              <w:rPr>
                <w:rFonts w:ascii="Times New Roman" w:hAnsi="Times New Roman"/>
                <w:sz w:val="26"/>
                <w:szCs w:val="26"/>
              </w:rPr>
              <w:t xml:space="preserve">титель председателя комиссии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  <w:p>
            <w:pPr>
              <w:jc w:val="both"/>
              <w:spacing w:before="120" w:after="6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2. Черепанова Светлана Владимировна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</w:rPr>
        <w:t xml:space="preserve"> Член комиссии</w:t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3.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Орлинская Марина Васильевна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Секретарь комиссии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4.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Мануева Арюна Юрьевна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sectPr>
      <w:footnotePr/>
      <w:endnotePr/>
      <w:type w:val="nextPage"/>
      <w:pgSz w:w="11905" w:h="16837" w:orient="portrait"/>
      <w:pgMar w:top="851" w:right="565" w:bottom="426" w:left="1134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Sans Serif">
    <w:panose1 w:val="020B06040202020202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0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5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4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6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0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5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4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6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num w:numId="1">
    <w:abstractNumId w:val="13"/>
  </w:num>
  <w:num w:numId="2">
    <w:abstractNumId w:val="9"/>
  </w:num>
  <w:num w:numId="3">
    <w:abstractNumId w:val="6"/>
  </w:num>
  <w:num w:numId="4">
    <w:abstractNumId w:val="7"/>
  </w:num>
  <w:num w:numId="5">
    <w:abstractNumId w:val="11"/>
  </w:num>
  <w:num w:numId="6">
    <w:abstractNumId w:val="5"/>
  </w:num>
  <w:num w:numId="7">
    <w:abstractNumId w:val="12"/>
  </w:num>
  <w:num w:numId="8">
    <w:abstractNumId w:val="4"/>
  </w:num>
  <w:num w:numId="9">
    <w:abstractNumId w:val="0"/>
  </w:num>
  <w:num w:numId="10">
    <w:abstractNumId w:val="2"/>
  </w:num>
  <w:num w:numId="11">
    <w:abstractNumId w:val="1"/>
  </w:num>
  <w:num w:numId="12">
    <w:abstractNumId w:val="10"/>
  </w:num>
  <w:num w:numId="13">
    <w:abstractNumId w:val="3"/>
  </w:num>
  <w:num w:numId="14">
    <w:abstractNumId w:val="8"/>
  </w:num>
  <w:num w:numId="15">
    <w:abstractNumId w:val="14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sz w:val="22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84">
    <w:name w:val="Heading 1 Char"/>
    <w:basedOn w:val="860"/>
    <w:link w:val="859"/>
    <w:uiPriority w:val="9"/>
    <w:rPr>
      <w:rFonts w:ascii="Arial" w:hAnsi="Arial" w:eastAsia="Arial" w:cs="Arial"/>
      <w:sz w:val="40"/>
      <w:szCs w:val="40"/>
    </w:rPr>
  </w:style>
  <w:style w:type="paragraph" w:styleId="685">
    <w:name w:val="Heading 2"/>
    <w:basedOn w:val="858"/>
    <w:next w:val="858"/>
    <w:link w:val="68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6">
    <w:name w:val="Heading 2 Char"/>
    <w:basedOn w:val="860"/>
    <w:link w:val="685"/>
    <w:uiPriority w:val="9"/>
    <w:rPr>
      <w:rFonts w:ascii="Arial" w:hAnsi="Arial" w:eastAsia="Arial" w:cs="Arial"/>
      <w:sz w:val="34"/>
    </w:rPr>
  </w:style>
  <w:style w:type="paragraph" w:styleId="687">
    <w:name w:val="Heading 3"/>
    <w:basedOn w:val="858"/>
    <w:next w:val="858"/>
    <w:link w:val="68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8">
    <w:name w:val="Heading 3 Char"/>
    <w:basedOn w:val="860"/>
    <w:link w:val="687"/>
    <w:uiPriority w:val="9"/>
    <w:rPr>
      <w:rFonts w:ascii="Arial" w:hAnsi="Arial" w:eastAsia="Arial" w:cs="Arial"/>
      <w:sz w:val="30"/>
      <w:szCs w:val="30"/>
    </w:rPr>
  </w:style>
  <w:style w:type="paragraph" w:styleId="689">
    <w:name w:val="Heading 4"/>
    <w:basedOn w:val="858"/>
    <w:next w:val="858"/>
    <w:link w:val="69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0">
    <w:name w:val="Heading 4 Char"/>
    <w:basedOn w:val="860"/>
    <w:link w:val="689"/>
    <w:uiPriority w:val="9"/>
    <w:rPr>
      <w:rFonts w:ascii="Arial" w:hAnsi="Arial" w:eastAsia="Arial" w:cs="Arial"/>
      <w:b/>
      <w:bCs/>
      <w:sz w:val="26"/>
      <w:szCs w:val="26"/>
    </w:rPr>
  </w:style>
  <w:style w:type="paragraph" w:styleId="691">
    <w:name w:val="Heading 5"/>
    <w:basedOn w:val="858"/>
    <w:next w:val="858"/>
    <w:link w:val="69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2">
    <w:name w:val="Heading 5 Char"/>
    <w:basedOn w:val="860"/>
    <w:link w:val="691"/>
    <w:uiPriority w:val="9"/>
    <w:rPr>
      <w:rFonts w:ascii="Arial" w:hAnsi="Arial" w:eastAsia="Arial" w:cs="Arial"/>
      <w:b/>
      <w:bCs/>
      <w:sz w:val="24"/>
      <w:szCs w:val="24"/>
    </w:rPr>
  </w:style>
  <w:style w:type="paragraph" w:styleId="693">
    <w:name w:val="Heading 6"/>
    <w:basedOn w:val="858"/>
    <w:next w:val="858"/>
    <w:link w:val="69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4">
    <w:name w:val="Heading 6 Char"/>
    <w:basedOn w:val="860"/>
    <w:link w:val="693"/>
    <w:uiPriority w:val="9"/>
    <w:rPr>
      <w:rFonts w:ascii="Arial" w:hAnsi="Arial" w:eastAsia="Arial" w:cs="Arial"/>
      <w:b/>
      <w:bCs/>
      <w:sz w:val="22"/>
      <w:szCs w:val="22"/>
    </w:rPr>
  </w:style>
  <w:style w:type="paragraph" w:styleId="695">
    <w:name w:val="Heading 7"/>
    <w:basedOn w:val="858"/>
    <w:next w:val="858"/>
    <w:link w:val="69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6">
    <w:name w:val="Heading 7 Char"/>
    <w:basedOn w:val="860"/>
    <w:link w:val="69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7">
    <w:name w:val="Heading 8"/>
    <w:basedOn w:val="858"/>
    <w:next w:val="858"/>
    <w:link w:val="69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8">
    <w:name w:val="Heading 8 Char"/>
    <w:basedOn w:val="860"/>
    <w:link w:val="697"/>
    <w:uiPriority w:val="9"/>
    <w:rPr>
      <w:rFonts w:ascii="Arial" w:hAnsi="Arial" w:eastAsia="Arial" w:cs="Arial"/>
      <w:i/>
      <w:iCs/>
      <w:sz w:val="22"/>
      <w:szCs w:val="22"/>
    </w:rPr>
  </w:style>
  <w:style w:type="paragraph" w:styleId="699">
    <w:name w:val="Heading 9"/>
    <w:basedOn w:val="858"/>
    <w:next w:val="858"/>
    <w:link w:val="70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0">
    <w:name w:val="Heading 9 Char"/>
    <w:basedOn w:val="860"/>
    <w:link w:val="699"/>
    <w:uiPriority w:val="9"/>
    <w:rPr>
      <w:rFonts w:ascii="Arial" w:hAnsi="Arial" w:eastAsia="Arial" w:cs="Arial"/>
      <w:i/>
      <w:iCs/>
      <w:sz w:val="21"/>
      <w:szCs w:val="21"/>
    </w:rPr>
  </w:style>
  <w:style w:type="paragraph" w:styleId="701">
    <w:name w:val="No Spacing"/>
    <w:uiPriority w:val="1"/>
    <w:qFormat/>
    <w:pPr>
      <w:spacing w:before="0" w:after="0" w:line="240" w:lineRule="auto"/>
    </w:pPr>
  </w:style>
  <w:style w:type="character" w:styleId="702">
    <w:name w:val="Title Char"/>
    <w:basedOn w:val="860"/>
    <w:link w:val="870"/>
    <w:uiPriority w:val="10"/>
    <w:rPr>
      <w:sz w:val="48"/>
      <w:szCs w:val="48"/>
    </w:rPr>
  </w:style>
  <w:style w:type="paragraph" w:styleId="703">
    <w:name w:val="Subtitle"/>
    <w:basedOn w:val="858"/>
    <w:next w:val="858"/>
    <w:link w:val="704"/>
    <w:uiPriority w:val="11"/>
    <w:qFormat/>
    <w:pPr>
      <w:spacing w:before="200" w:after="200"/>
    </w:pPr>
    <w:rPr>
      <w:sz w:val="24"/>
      <w:szCs w:val="24"/>
    </w:rPr>
  </w:style>
  <w:style w:type="character" w:styleId="704">
    <w:name w:val="Subtitle Char"/>
    <w:basedOn w:val="860"/>
    <w:link w:val="703"/>
    <w:uiPriority w:val="11"/>
    <w:rPr>
      <w:sz w:val="24"/>
      <w:szCs w:val="24"/>
    </w:rPr>
  </w:style>
  <w:style w:type="paragraph" w:styleId="705">
    <w:name w:val="Quote"/>
    <w:basedOn w:val="858"/>
    <w:next w:val="858"/>
    <w:link w:val="706"/>
    <w:uiPriority w:val="29"/>
    <w:qFormat/>
    <w:pPr>
      <w:ind w:left="720" w:right="720"/>
    </w:pPr>
    <w:rPr>
      <w:i/>
    </w:rPr>
  </w:style>
  <w:style w:type="character" w:styleId="706">
    <w:name w:val="Quote Char"/>
    <w:link w:val="705"/>
    <w:uiPriority w:val="29"/>
    <w:rPr>
      <w:i/>
    </w:rPr>
  </w:style>
  <w:style w:type="paragraph" w:styleId="707">
    <w:name w:val="Intense Quote"/>
    <w:basedOn w:val="858"/>
    <w:next w:val="858"/>
    <w:link w:val="70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8">
    <w:name w:val="Intense Quote Char"/>
    <w:link w:val="707"/>
    <w:uiPriority w:val="30"/>
    <w:rPr>
      <w:i/>
    </w:rPr>
  </w:style>
  <w:style w:type="paragraph" w:styleId="709">
    <w:name w:val="Header"/>
    <w:basedOn w:val="858"/>
    <w:link w:val="71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0">
    <w:name w:val="Header Char"/>
    <w:basedOn w:val="860"/>
    <w:link w:val="709"/>
    <w:uiPriority w:val="99"/>
  </w:style>
  <w:style w:type="paragraph" w:styleId="711">
    <w:name w:val="Footer"/>
    <w:basedOn w:val="858"/>
    <w:link w:val="71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2">
    <w:name w:val="Footer Char"/>
    <w:basedOn w:val="860"/>
    <w:link w:val="711"/>
    <w:uiPriority w:val="99"/>
  </w:style>
  <w:style w:type="paragraph" w:styleId="713">
    <w:name w:val="Caption"/>
    <w:basedOn w:val="858"/>
    <w:next w:val="858"/>
    <w:link w:val="71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4">
    <w:name w:val="Caption Char"/>
    <w:basedOn w:val="860"/>
    <w:link w:val="713"/>
    <w:uiPriority w:val="35"/>
    <w:rPr>
      <w:b/>
      <w:bCs/>
      <w:color w:val="4f81bd" w:themeColor="accent1"/>
      <w:sz w:val="18"/>
      <w:szCs w:val="18"/>
    </w:rPr>
  </w:style>
  <w:style w:type="table" w:styleId="715">
    <w:name w:val="Table Grid"/>
    <w:basedOn w:val="86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6">
    <w:name w:val="Table Grid Light"/>
    <w:basedOn w:val="86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7">
    <w:name w:val="Plain Table 1"/>
    <w:basedOn w:val="86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8">
    <w:name w:val="Plain Table 2"/>
    <w:basedOn w:val="86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9">
    <w:name w:val="Plain Table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0">
    <w:name w:val="Plain Table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Plain Table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2">
    <w:name w:val="Grid Table 1 Light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1 Light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1 Light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2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2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2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4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4">
    <w:name w:val="Grid Table 4 - Accent 1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5">
    <w:name w:val="Grid Table 4 - Accent 2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6">
    <w:name w:val="Grid Table 4 - Accent 3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7">
    <w:name w:val="Grid Table 4 - Accent 4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8">
    <w:name w:val="Grid Table 4 - Accent 5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9">
    <w:name w:val="Grid Table 4 - Accent 6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0">
    <w:name w:val="Grid Table 5 Dark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1">
    <w:name w:val="Grid Table 5 Dark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2">
    <w:name w:val="Grid Table 5 Dark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3">
    <w:name w:val="Grid Table 5 Dark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4">
    <w:name w:val="Grid Table 5 Dark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55">
    <w:name w:val="Grid Table 5 Dark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56">
    <w:name w:val="Grid Table 5 Dark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57">
    <w:name w:val="Grid Table 6 Colorful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8">
    <w:name w:val="Grid Table 6 Colorful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9">
    <w:name w:val="Grid Table 6 Colorful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0">
    <w:name w:val="Grid Table 6 Colorful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1">
    <w:name w:val="Grid Table 6 Colorful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2">
    <w:name w:val="Grid Table 6 Colorful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3">
    <w:name w:val="Grid Table 6 Colorful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4">
    <w:name w:val="Grid Table 7 Colorful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7 Colorful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7 Colorful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7 Colorful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9">
    <w:name w:val="List Table 2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0">
    <w:name w:val="List Table 2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1">
    <w:name w:val="List Table 2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2">
    <w:name w:val="List Table 2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3">
    <w:name w:val="List Table 2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4">
    <w:name w:val="List Table 2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5">
    <w:name w:val="List Table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3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3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5 Dark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5 Dark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5 Dark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5 Dark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5 Dark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6">
    <w:name w:val="List Table 6 Colorful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7">
    <w:name w:val="List Table 6 Colorful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8">
    <w:name w:val="List Table 6 Colorful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9">
    <w:name w:val="List Table 6 Colorful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0">
    <w:name w:val="List Table 6 Colorful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1">
    <w:name w:val="List Table 6 Colorful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2">
    <w:name w:val="List Table 6 Colorful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3">
    <w:name w:val="List Table 7 Colorful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4">
    <w:name w:val="List Table 7 Colorful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5">
    <w:name w:val="List Table 7 Colorful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16">
    <w:name w:val="List Table 7 Colorful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17">
    <w:name w:val="List Table 7 Colorful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18">
    <w:name w:val="List Table 7 Colorful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19">
    <w:name w:val="List Table 7 Colorful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0">
    <w:name w:val="Lined - Accent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1">
    <w:name w:val="Lined - Accent 1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2">
    <w:name w:val="Lined - Accent 2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3">
    <w:name w:val="Lined - Accent 3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4">
    <w:name w:val="Lined - Accent 4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5">
    <w:name w:val="Lined - Accent 5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6">
    <w:name w:val="Lined - Accent 6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7">
    <w:name w:val="Bordered &amp; Lined - Accent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8">
    <w:name w:val="Bordered &amp; Lined - Accent 1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9">
    <w:name w:val="Bordered &amp; Lined - Accent 2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0">
    <w:name w:val="Bordered &amp; Lined - Accent 3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1">
    <w:name w:val="Bordered &amp; Lined - Accent 4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2">
    <w:name w:val="Bordered &amp; Lined - Accent 5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3">
    <w:name w:val="Bordered &amp; Lined - Accent 6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4">
    <w:name w:val="Bordered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5">
    <w:name w:val="Bordered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6">
    <w:name w:val="Bordered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7">
    <w:name w:val="Bordered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8">
    <w:name w:val="Bordered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9">
    <w:name w:val="Bordered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0">
    <w:name w:val="Bordered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1">
    <w:name w:val="footnote text"/>
    <w:basedOn w:val="858"/>
    <w:link w:val="842"/>
    <w:uiPriority w:val="99"/>
    <w:semiHidden/>
    <w:unhideWhenUsed/>
    <w:pPr>
      <w:spacing w:after="40" w:line="240" w:lineRule="auto"/>
    </w:pPr>
    <w:rPr>
      <w:sz w:val="18"/>
    </w:rPr>
  </w:style>
  <w:style w:type="character" w:styleId="842">
    <w:name w:val="Footnote Text Char"/>
    <w:link w:val="841"/>
    <w:uiPriority w:val="99"/>
    <w:rPr>
      <w:sz w:val="18"/>
    </w:rPr>
  </w:style>
  <w:style w:type="character" w:styleId="843">
    <w:name w:val="footnote reference"/>
    <w:basedOn w:val="860"/>
    <w:uiPriority w:val="99"/>
    <w:unhideWhenUsed/>
    <w:rPr>
      <w:vertAlign w:val="superscript"/>
    </w:rPr>
  </w:style>
  <w:style w:type="paragraph" w:styleId="844">
    <w:name w:val="endnote text"/>
    <w:basedOn w:val="858"/>
    <w:link w:val="845"/>
    <w:uiPriority w:val="99"/>
    <w:semiHidden/>
    <w:unhideWhenUsed/>
    <w:pPr>
      <w:spacing w:after="0" w:line="240" w:lineRule="auto"/>
    </w:pPr>
    <w:rPr>
      <w:sz w:val="20"/>
    </w:rPr>
  </w:style>
  <w:style w:type="character" w:styleId="845">
    <w:name w:val="Endnote Text Char"/>
    <w:link w:val="844"/>
    <w:uiPriority w:val="99"/>
    <w:rPr>
      <w:sz w:val="20"/>
    </w:rPr>
  </w:style>
  <w:style w:type="character" w:styleId="846">
    <w:name w:val="endnote reference"/>
    <w:basedOn w:val="860"/>
    <w:uiPriority w:val="99"/>
    <w:semiHidden/>
    <w:unhideWhenUsed/>
    <w:rPr>
      <w:vertAlign w:val="superscript"/>
    </w:rPr>
  </w:style>
  <w:style w:type="paragraph" w:styleId="847">
    <w:name w:val="toc 1"/>
    <w:basedOn w:val="858"/>
    <w:next w:val="858"/>
    <w:uiPriority w:val="39"/>
    <w:unhideWhenUsed/>
    <w:pPr>
      <w:ind w:left="0" w:right="0" w:firstLine="0"/>
      <w:spacing w:after="57"/>
    </w:pPr>
  </w:style>
  <w:style w:type="paragraph" w:styleId="848">
    <w:name w:val="toc 2"/>
    <w:basedOn w:val="858"/>
    <w:next w:val="858"/>
    <w:uiPriority w:val="39"/>
    <w:unhideWhenUsed/>
    <w:pPr>
      <w:ind w:left="283" w:right="0" w:firstLine="0"/>
      <w:spacing w:after="57"/>
    </w:pPr>
  </w:style>
  <w:style w:type="paragraph" w:styleId="849">
    <w:name w:val="toc 3"/>
    <w:basedOn w:val="858"/>
    <w:next w:val="858"/>
    <w:uiPriority w:val="39"/>
    <w:unhideWhenUsed/>
    <w:pPr>
      <w:ind w:left="567" w:right="0" w:firstLine="0"/>
      <w:spacing w:after="57"/>
    </w:pPr>
  </w:style>
  <w:style w:type="paragraph" w:styleId="850">
    <w:name w:val="toc 4"/>
    <w:basedOn w:val="858"/>
    <w:next w:val="858"/>
    <w:uiPriority w:val="39"/>
    <w:unhideWhenUsed/>
    <w:pPr>
      <w:ind w:left="850" w:right="0" w:firstLine="0"/>
      <w:spacing w:after="57"/>
    </w:pPr>
  </w:style>
  <w:style w:type="paragraph" w:styleId="851">
    <w:name w:val="toc 5"/>
    <w:basedOn w:val="858"/>
    <w:next w:val="858"/>
    <w:uiPriority w:val="39"/>
    <w:unhideWhenUsed/>
    <w:pPr>
      <w:ind w:left="1134" w:right="0" w:firstLine="0"/>
      <w:spacing w:after="57"/>
    </w:pPr>
  </w:style>
  <w:style w:type="paragraph" w:styleId="852">
    <w:name w:val="toc 6"/>
    <w:basedOn w:val="858"/>
    <w:next w:val="858"/>
    <w:uiPriority w:val="39"/>
    <w:unhideWhenUsed/>
    <w:pPr>
      <w:ind w:left="1417" w:right="0" w:firstLine="0"/>
      <w:spacing w:after="57"/>
    </w:pPr>
  </w:style>
  <w:style w:type="paragraph" w:styleId="853">
    <w:name w:val="toc 7"/>
    <w:basedOn w:val="858"/>
    <w:next w:val="858"/>
    <w:uiPriority w:val="39"/>
    <w:unhideWhenUsed/>
    <w:pPr>
      <w:ind w:left="1701" w:right="0" w:firstLine="0"/>
      <w:spacing w:after="57"/>
    </w:pPr>
  </w:style>
  <w:style w:type="paragraph" w:styleId="854">
    <w:name w:val="toc 8"/>
    <w:basedOn w:val="858"/>
    <w:next w:val="858"/>
    <w:uiPriority w:val="39"/>
    <w:unhideWhenUsed/>
    <w:pPr>
      <w:ind w:left="1984" w:right="0" w:firstLine="0"/>
      <w:spacing w:after="57"/>
    </w:pPr>
  </w:style>
  <w:style w:type="paragraph" w:styleId="855">
    <w:name w:val="toc 9"/>
    <w:basedOn w:val="858"/>
    <w:next w:val="858"/>
    <w:uiPriority w:val="39"/>
    <w:unhideWhenUsed/>
    <w:pPr>
      <w:ind w:left="2268" w:right="0" w:firstLine="0"/>
      <w:spacing w:after="57"/>
    </w:pPr>
  </w:style>
  <w:style w:type="paragraph" w:styleId="856">
    <w:name w:val="TOC Heading"/>
    <w:uiPriority w:val="39"/>
    <w:unhideWhenUsed/>
  </w:style>
  <w:style w:type="paragraph" w:styleId="857">
    <w:name w:val="table of figures"/>
    <w:basedOn w:val="858"/>
    <w:next w:val="858"/>
    <w:uiPriority w:val="99"/>
    <w:unhideWhenUsed/>
    <w:pPr>
      <w:spacing w:after="0" w:afterAutospacing="0"/>
    </w:pPr>
  </w:style>
  <w:style w:type="paragraph" w:styleId="858" w:default="1">
    <w:name w:val="Normal"/>
    <w:qFormat/>
    <w:pPr>
      <w:spacing w:after="200" w:line="276" w:lineRule="auto"/>
    </w:pPr>
    <w:rPr>
      <w:rFonts w:cs="Calibri"/>
    </w:rPr>
  </w:style>
  <w:style w:type="paragraph" w:styleId="859">
    <w:name w:val="Heading 1"/>
    <w:basedOn w:val="858"/>
    <w:next w:val="858"/>
    <w:link w:val="863"/>
    <w:uiPriority w:val="99"/>
    <w:qFormat/>
    <w:pPr>
      <w:ind w:right="45"/>
      <w:keepNext/>
      <w:spacing w:after="0" w:line="240" w:lineRule="auto"/>
      <w:outlineLvl w:val="0"/>
    </w:pPr>
    <w:rPr>
      <w:rFonts w:cs="Times New Roman"/>
      <w:sz w:val="28"/>
      <w:szCs w:val="28"/>
    </w:rPr>
  </w:style>
  <w:style w:type="character" w:styleId="860" w:default="1">
    <w:name w:val="Default Paragraph Font"/>
    <w:uiPriority w:val="1"/>
    <w:semiHidden/>
    <w:unhideWhenUsed/>
  </w:style>
  <w:style w:type="table" w:styleId="86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2" w:default="1">
    <w:name w:val="No List"/>
    <w:uiPriority w:val="99"/>
    <w:semiHidden/>
    <w:unhideWhenUsed/>
  </w:style>
  <w:style w:type="character" w:styleId="863" w:customStyle="1">
    <w:name w:val="Заголовок 1 Знак"/>
    <w:basedOn w:val="860"/>
    <w:link w:val="859"/>
    <w:uiPriority w:val="99"/>
    <w:rPr>
      <w:rFonts w:ascii="Times New Roman" w:hAnsi="Times New Roman" w:cs="Times New Roman"/>
      <w:sz w:val="20"/>
      <w:szCs w:val="20"/>
    </w:rPr>
  </w:style>
  <w:style w:type="character" w:styleId="864">
    <w:name w:val="Hyperlink"/>
    <w:basedOn w:val="860"/>
    <w:uiPriority w:val="99"/>
    <w:rPr>
      <w:color w:val="0000ff"/>
      <w:u w:val="single"/>
    </w:rPr>
  </w:style>
  <w:style w:type="character" w:styleId="865" w:customStyle="1">
    <w:name w:val="Основной текст (3)_"/>
    <w:basedOn w:val="860"/>
    <w:link w:val="866"/>
    <w:uiPriority w:val="99"/>
    <w:rPr>
      <w:b/>
      <w:bCs/>
      <w:sz w:val="18"/>
      <w:szCs w:val="18"/>
      <w:shd w:val="clear" w:color="auto" w:fill="ffffff"/>
    </w:rPr>
  </w:style>
  <w:style w:type="paragraph" w:styleId="866" w:customStyle="1">
    <w:name w:val="Основной текст (3)1"/>
    <w:basedOn w:val="858"/>
    <w:link w:val="865"/>
    <w:uiPriority w:val="99"/>
    <w:pPr>
      <w:ind w:hanging="1460"/>
      <w:spacing w:before="180" w:after="180" w:line="221" w:lineRule="exact"/>
      <w:shd w:val="clear" w:color="auto" w:fill="ffffff"/>
    </w:pPr>
    <w:rPr>
      <w:b/>
      <w:bCs/>
      <w:sz w:val="18"/>
      <w:szCs w:val="18"/>
    </w:rPr>
  </w:style>
  <w:style w:type="paragraph" w:styleId="867">
    <w:name w:val="List Paragraph"/>
    <w:basedOn w:val="858"/>
    <w:link w:val="872"/>
    <w:uiPriority w:val="99"/>
    <w:qFormat/>
    <w:pPr>
      <w:ind w:left="720"/>
    </w:pPr>
  </w:style>
  <w:style w:type="paragraph" w:styleId="868">
    <w:name w:val="Balloon Text"/>
    <w:basedOn w:val="858"/>
    <w:link w:val="869"/>
    <w:uiPriority w:val="9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69" w:customStyle="1">
    <w:name w:val="Текст выноски Знак"/>
    <w:basedOn w:val="860"/>
    <w:link w:val="868"/>
    <w:uiPriority w:val="99"/>
    <w:semiHidden/>
    <w:rPr>
      <w:rFonts w:ascii="Tahoma" w:hAnsi="Tahoma" w:cs="Tahoma"/>
      <w:sz w:val="16"/>
      <w:szCs w:val="16"/>
    </w:rPr>
  </w:style>
  <w:style w:type="paragraph" w:styleId="870">
    <w:name w:val="Title"/>
    <w:basedOn w:val="858"/>
    <w:link w:val="871"/>
    <w:uiPriority w:val="99"/>
    <w:qFormat/>
    <w:pPr>
      <w:jc w:val="center"/>
      <w:spacing w:after="0" w:line="240" w:lineRule="auto"/>
    </w:pPr>
    <w:rPr>
      <w:rFonts w:ascii="Times New Roman" w:hAnsi="Times New Roman" w:cs="Times New Roman"/>
      <w:bCs/>
      <w:sz w:val="24"/>
      <w:szCs w:val="20"/>
    </w:rPr>
  </w:style>
  <w:style w:type="character" w:styleId="871" w:customStyle="1">
    <w:name w:val="Заголовок Знак"/>
    <w:basedOn w:val="860"/>
    <w:link w:val="870"/>
    <w:uiPriority w:val="99"/>
    <w:rPr>
      <w:rFonts w:ascii="Times New Roman" w:hAnsi="Times New Roman"/>
      <w:bCs/>
      <w:sz w:val="24"/>
      <w:szCs w:val="20"/>
    </w:rPr>
  </w:style>
  <w:style w:type="character" w:styleId="872" w:customStyle="1">
    <w:name w:val="Абзац списка Знак"/>
    <w:link w:val="867"/>
    <w:uiPriority w:val="99"/>
    <w:rPr>
      <w:rFonts w:cs="Calibri"/>
    </w:rPr>
  </w:style>
  <w:style w:type="table" w:styleId="873" w:customStyle="1">
    <w:name w:val="Table Normal"/>
    <w:uiPriority w:val="2"/>
    <w:semiHidden/>
    <w:unhideWhenUsed/>
    <w:qFormat/>
    <w:pPr>
      <w:widowControl w:val="off"/>
    </w:pPr>
    <w:rPr>
      <w:rFonts w:asciiTheme="minorHAnsi" w:hAnsiTheme="minorHAnsi" w:eastAsiaTheme="minorHAnsi" w:cstheme="minorBidi"/>
      <w:lang w:val="en-US" w:eastAsia="en-US"/>
    </w:rPr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paragraph" w:styleId="874" w:customStyle="1">
    <w:name w:val="Table Paragraph"/>
    <w:basedOn w:val="858"/>
    <w:uiPriority w:val="1"/>
    <w:qFormat/>
    <w:pPr>
      <w:ind w:left="55"/>
      <w:spacing w:before="41" w:after="0" w:line="240" w:lineRule="auto"/>
      <w:widowControl w:val="off"/>
    </w:pPr>
    <w:rPr>
      <w:rFonts w:ascii="Microsoft Sans Serif" w:hAnsi="Microsoft Sans Serif" w:eastAsia="Microsoft Sans Serif" w:cs="Microsoft Sans Serif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http://www.torgi.gov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BA7839-5342-46B2-8182-2E4C981C9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Microsoft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cherepanova</dc:creator>
  <cp:lastModifiedBy>manueva</cp:lastModifiedBy>
  <cp:revision>17</cp:revision>
  <dcterms:created xsi:type="dcterms:W3CDTF">2025-10-07T08:18:00Z</dcterms:created>
  <dcterms:modified xsi:type="dcterms:W3CDTF">2026-01-27T03:46:35Z</dcterms:modified>
</cp:coreProperties>
</file>